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D459F" w14:textId="54F87D98" w:rsidR="00BC78BC" w:rsidRPr="00134A16" w:rsidRDefault="00BC78BC" w:rsidP="00E6504C">
      <w:pPr>
        <w:ind w:left="0"/>
        <w:rPr>
          <w:rFonts w:cs="Times New Roman"/>
          <w:sz w:val="22"/>
          <w:szCs w:val="22"/>
        </w:rPr>
      </w:pPr>
    </w:p>
    <w:p w14:paraId="2BEA67B0" w14:textId="77777777" w:rsidR="00AC6651" w:rsidRDefault="00AC6651" w:rsidP="00AC6651">
      <w:pPr>
        <w:ind w:left="0"/>
        <w:jc w:val="center"/>
        <w:rPr>
          <w:rFonts w:cs="Times New Roman"/>
          <w:b/>
          <w:bCs/>
          <w:i/>
          <w:iCs/>
          <w:noProof/>
          <w:sz w:val="22"/>
          <w:szCs w:val="22"/>
          <w:lang w:eastAsia="pl-PL"/>
        </w:rPr>
      </w:pPr>
      <w:r w:rsidRPr="00FB4488">
        <w:rPr>
          <w:rFonts w:cs="Times New Roman"/>
          <w:b/>
          <w:bCs/>
          <w:noProof/>
          <w:sz w:val="22"/>
          <w:szCs w:val="22"/>
          <w:u w:val="single"/>
          <w:lang w:eastAsia="pl-PL"/>
        </w:rPr>
        <w:t>Szablon/wzór programu studiów</w:t>
      </w:r>
      <w:r>
        <w:rPr>
          <w:rFonts w:cs="Times New Roman"/>
          <w:b/>
          <w:bCs/>
          <w:i/>
          <w:iCs/>
          <w:noProof/>
          <w:sz w:val="22"/>
          <w:szCs w:val="22"/>
          <w:lang w:eastAsia="pl-PL"/>
        </w:rPr>
        <w:t xml:space="preserve"> </w:t>
      </w:r>
    </w:p>
    <w:p w14:paraId="5A989DF5" w14:textId="77777777" w:rsidR="00AC6651" w:rsidRDefault="00AC6651" w:rsidP="00AC6651">
      <w:pPr>
        <w:ind w:left="0"/>
        <w:jc w:val="center"/>
        <w:rPr>
          <w:rFonts w:cs="Times New Roman"/>
          <w:b/>
          <w:bCs/>
          <w:i/>
          <w:iCs/>
          <w:noProof/>
          <w:sz w:val="22"/>
          <w:szCs w:val="22"/>
          <w:lang w:eastAsia="pl-PL"/>
        </w:rPr>
      </w:pPr>
    </w:p>
    <w:p w14:paraId="2BF0A3BC" w14:textId="5ACFAA61" w:rsidR="00AC6651" w:rsidRPr="00B15938" w:rsidRDefault="00AC6651" w:rsidP="00AC6651">
      <w:pPr>
        <w:ind w:left="0"/>
        <w:rPr>
          <w:rFonts w:cs="Times New Roman"/>
          <w:i/>
          <w:iCs/>
          <w:noProof/>
          <w:sz w:val="22"/>
          <w:szCs w:val="22"/>
          <w:lang w:eastAsia="pl-PL"/>
        </w:rPr>
      </w:pPr>
      <w:r w:rsidRPr="00B15938">
        <w:rPr>
          <w:rFonts w:cs="Times New Roman"/>
          <w:i/>
          <w:iCs/>
          <w:noProof/>
          <w:sz w:val="22"/>
          <w:szCs w:val="22"/>
          <w:lang w:eastAsia="pl-PL"/>
        </w:rPr>
        <w:t xml:space="preserve">opracowano na podstawie: uchwały nr 620 Senatu UŁ z dnia 18.11.2019 r. w sprawie wytycznych w zakresie tworzenia programu studiów w Uniwersytecie </w:t>
      </w:r>
      <w:r w:rsidRPr="00C50916">
        <w:rPr>
          <w:rFonts w:cs="Times New Roman"/>
          <w:i/>
          <w:iCs/>
          <w:noProof/>
          <w:sz w:val="22"/>
          <w:szCs w:val="22"/>
          <w:lang w:eastAsia="pl-PL"/>
        </w:rPr>
        <w:t>Łódzkim</w:t>
      </w:r>
      <w:r w:rsidR="00171089" w:rsidRPr="00C50916">
        <w:rPr>
          <w:rFonts w:cs="Times New Roman"/>
          <w:i/>
          <w:iCs/>
          <w:noProof/>
          <w:sz w:val="22"/>
          <w:szCs w:val="22"/>
          <w:lang w:eastAsia="pl-PL"/>
        </w:rPr>
        <w:t xml:space="preserve"> </w:t>
      </w:r>
      <w:r w:rsidR="00E06636" w:rsidRPr="00C50916">
        <w:rPr>
          <w:rFonts w:cs="Times New Roman"/>
          <w:i/>
          <w:iCs/>
          <w:noProof/>
          <w:sz w:val="22"/>
          <w:szCs w:val="22"/>
          <w:lang w:eastAsia="pl-PL"/>
        </w:rPr>
        <w:t>(ze zm.)</w:t>
      </w:r>
      <w:r w:rsidRPr="00C50916">
        <w:rPr>
          <w:rFonts w:cs="Times New Roman"/>
          <w:i/>
          <w:iCs/>
          <w:noProof/>
          <w:sz w:val="22"/>
          <w:szCs w:val="22"/>
          <w:lang w:eastAsia="pl-PL"/>
        </w:rPr>
        <w:t>, u</w:t>
      </w:r>
      <w:r w:rsidRPr="00B15938">
        <w:rPr>
          <w:rFonts w:cs="Times New Roman"/>
          <w:i/>
          <w:iCs/>
          <w:noProof/>
          <w:sz w:val="22"/>
          <w:szCs w:val="22"/>
          <w:lang w:eastAsia="pl-PL"/>
        </w:rPr>
        <w:t>stawy z dnia 20 lipca 2018 r. „Prawo o szkolnictwie wyższym i na</w:t>
      </w:r>
      <w:r w:rsidRPr="00C50916">
        <w:rPr>
          <w:rFonts w:cs="Times New Roman"/>
          <w:i/>
          <w:iCs/>
          <w:noProof/>
          <w:sz w:val="22"/>
          <w:szCs w:val="22"/>
          <w:lang w:eastAsia="pl-PL"/>
        </w:rPr>
        <w:t>uce” ( Dz.U. 202</w:t>
      </w:r>
      <w:r w:rsidR="00E06636" w:rsidRPr="00C50916">
        <w:rPr>
          <w:rFonts w:cs="Times New Roman"/>
          <w:i/>
          <w:iCs/>
          <w:noProof/>
          <w:sz w:val="22"/>
          <w:szCs w:val="22"/>
          <w:lang w:eastAsia="pl-PL"/>
        </w:rPr>
        <w:t>1</w:t>
      </w:r>
      <w:r w:rsidRPr="00C50916">
        <w:rPr>
          <w:rFonts w:cs="Times New Roman"/>
          <w:i/>
          <w:iCs/>
          <w:noProof/>
          <w:sz w:val="22"/>
          <w:szCs w:val="22"/>
          <w:lang w:eastAsia="pl-PL"/>
        </w:rPr>
        <w:t xml:space="preserve"> poz. </w:t>
      </w:r>
      <w:r w:rsidR="00E06636" w:rsidRPr="00C50916">
        <w:rPr>
          <w:rFonts w:cs="Times New Roman"/>
          <w:i/>
          <w:iCs/>
          <w:noProof/>
          <w:sz w:val="22"/>
          <w:szCs w:val="22"/>
          <w:lang w:eastAsia="pl-PL"/>
        </w:rPr>
        <w:t>478</w:t>
      </w:r>
      <w:r w:rsidRPr="00C50916">
        <w:rPr>
          <w:rFonts w:cs="Times New Roman"/>
          <w:i/>
          <w:iCs/>
          <w:noProof/>
          <w:sz w:val="22"/>
          <w:szCs w:val="22"/>
          <w:lang w:eastAsia="pl-PL"/>
        </w:rPr>
        <w:t xml:space="preserve"> ze zm.), </w:t>
      </w:r>
      <w:r w:rsidRPr="00B15938">
        <w:rPr>
          <w:rFonts w:cs="Times New Roman"/>
          <w:i/>
          <w:iCs/>
          <w:noProof/>
          <w:sz w:val="22"/>
          <w:szCs w:val="22"/>
          <w:lang w:eastAsia="pl-PL"/>
        </w:rPr>
        <w:t>rozporządzenia MNiSW z dnia 27 września 2018 r. w sprawie studiów (t.j. Dz.U. 2021 poz. 661).</w:t>
      </w:r>
    </w:p>
    <w:p w14:paraId="4F0D9B66" w14:textId="77777777" w:rsidR="00AC6651" w:rsidRDefault="00AC6651" w:rsidP="003B2603">
      <w:pPr>
        <w:ind w:left="0"/>
        <w:jc w:val="both"/>
        <w:rPr>
          <w:rFonts w:cs="Times New Roman"/>
          <w:b/>
          <w:bCs/>
          <w:noProof/>
          <w:sz w:val="22"/>
          <w:szCs w:val="22"/>
          <w:lang w:eastAsia="pl-PL"/>
        </w:rPr>
      </w:pPr>
    </w:p>
    <w:p w14:paraId="6144FF27" w14:textId="54C97155" w:rsidR="000C765F" w:rsidRDefault="000C765F" w:rsidP="003B2603">
      <w:pPr>
        <w:ind w:left="0"/>
        <w:jc w:val="both"/>
        <w:rPr>
          <w:rFonts w:cs="Times New Roman"/>
          <w:b/>
          <w:bCs/>
          <w:noProof/>
          <w:sz w:val="22"/>
          <w:szCs w:val="22"/>
          <w:lang w:eastAsia="pl-PL"/>
        </w:rPr>
      </w:pPr>
      <w:r w:rsidRPr="00284B96">
        <w:rPr>
          <w:rFonts w:cs="Times New Roman"/>
          <w:b/>
          <w:bCs/>
          <w:noProof/>
          <w:sz w:val="22"/>
          <w:szCs w:val="22"/>
          <w:lang w:eastAsia="pl-PL"/>
        </w:rPr>
        <w:t xml:space="preserve">Program studiów </w:t>
      </w:r>
      <w:r w:rsidR="004149D6" w:rsidRPr="00284B96">
        <w:rPr>
          <w:rFonts w:cs="Times New Roman"/>
          <w:b/>
          <w:bCs/>
          <w:noProof/>
          <w:sz w:val="22"/>
          <w:szCs w:val="22"/>
          <w:lang w:eastAsia="pl-PL"/>
        </w:rPr>
        <w:t xml:space="preserve">może zawierać stwonę tytułową, jeśli nie – wskazane jest umieszczenie logo wydziału i godła UŁ na </w:t>
      </w:r>
      <w:r w:rsidR="003B2603" w:rsidRPr="00284B96">
        <w:rPr>
          <w:rFonts w:cs="Times New Roman"/>
          <w:b/>
          <w:bCs/>
          <w:noProof/>
          <w:sz w:val="22"/>
          <w:szCs w:val="22"/>
          <w:lang w:eastAsia="pl-PL"/>
        </w:rPr>
        <w:t>1 stwonie programu.</w:t>
      </w:r>
    </w:p>
    <w:p w14:paraId="37C89147" w14:textId="77777777" w:rsidR="003B2603" w:rsidRPr="00284B96" w:rsidRDefault="003B2603" w:rsidP="00284B96">
      <w:pPr>
        <w:ind w:left="0"/>
        <w:jc w:val="both"/>
        <w:rPr>
          <w:rFonts w:cs="Times New Roman"/>
          <w:b/>
          <w:bCs/>
          <w:noProof/>
          <w:sz w:val="22"/>
          <w:szCs w:val="22"/>
          <w:lang w:eastAsia="pl-PL"/>
        </w:rPr>
      </w:pPr>
    </w:p>
    <w:p w14:paraId="5D2AFD24" w14:textId="700B296A" w:rsidR="003B2603" w:rsidRPr="0080090F" w:rsidRDefault="003B2603" w:rsidP="00284B96">
      <w:pPr>
        <w:ind w:left="0"/>
        <w:jc w:val="both"/>
        <w:rPr>
          <w:rFonts w:cs="Times New Roman"/>
          <w:b/>
          <w:bCs/>
          <w:noProof/>
          <w:color w:val="FF0000"/>
          <w:sz w:val="22"/>
          <w:szCs w:val="22"/>
          <w:lang w:eastAsia="pl-PL"/>
        </w:rPr>
      </w:pPr>
      <w:r w:rsidRPr="0080090F">
        <w:rPr>
          <w:rFonts w:cs="Times New Roman"/>
          <w:b/>
          <w:bCs/>
          <w:noProof/>
          <w:color w:val="FF0000"/>
          <w:sz w:val="22"/>
          <w:szCs w:val="22"/>
          <w:lang w:eastAsia="pl-PL"/>
        </w:rPr>
        <w:t>Program obowiązkowo przesyłany jest w edytowalnej wersji.</w:t>
      </w:r>
    </w:p>
    <w:p w14:paraId="7740B978" w14:textId="09183B71" w:rsidR="00FD3165" w:rsidRDefault="00FD3165" w:rsidP="00284B96">
      <w:pPr>
        <w:ind w:left="0"/>
        <w:jc w:val="both"/>
        <w:rPr>
          <w:rFonts w:cs="Times New Roman"/>
          <w:b/>
          <w:bCs/>
          <w:noProof/>
          <w:sz w:val="22"/>
          <w:szCs w:val="22"/>
          <w:u w:val="single"/>
          <w:lang w:eastAsia="pl-PL"/>
        </w:rPr>
      </w:pPr>
    </w:p>
    <w:p w14:paraId="01AD017F" w14:textId="77777777" w:rsidR="00FD3165" w:rsidRPr="00284B96" w:rsidRDefault="00FD3165" w:rsidP="00284B96">
      <w:pPr>
        <w:ind w:left="0"/>
        <w:jc w:val="both"/>
        <w:rPr>
          <w:rFonts w:cs="Times New Roman"/>
          <w:b/>
          <w:bCs/>
          <w:noProof/>
          <w:sz w:val="22"/>
          <w:szCs w:val="22"/>
          <w:u w:val="single"/>
          <w:lang w:eastAsia="pl-PL"/>
        </w:rPr>
      </w:pPr>
    </w:p>
    <w:p w14:paraId="73F7B8CF" w14:textId="060B53A5" w:rsidR="003B2603" w:rsidRDefault="003B2603" w:rsidP="00E6504C">
      <w:pPr>
        <w:ind w:left="0"/>
        <w:rPr>
          <w:rFonts w:cs="Times New Roman"/>
          <w:b/>
          <w:bCs/>
          <w:i/>
          <w:iCs/>
          <w:noProof/>
          <w:sz w:val="22"/>
          <w:szCs w:val="22"/>
          <w:lang w:eastAsia="pl-PL"/>
        </w:rPr>
      </w:pPr>
    </w:p>
    <w:p w14:paraId="7B94A606" w14:textId="77777777" w:rsidR="00B15938" w:rsidRDefault="00B15938" w:rsidP="00E6504C">
      <w:pPr>
        <w:ind w:left="0"/>
        <w:rPr>
          <w:rFonts w:cs="Times New Roman"/>
          <w:b/>
          <w:bCs/>
          <w:i/>
          <w:iCs/>
          <w:noProof/>
          <w:sz w:val="22"/>
          <w:szCs w:val="22"/>
          <w:lang w:eastAsia="pl-PL"/>
        </w:rPr>
      </w:pPr>
    </w:p>
    <w:p w14:paraId="6AEC7243" w14:textId="5830B25C" w:rsidR="000166EF" w:rsidRPr="00134A16" w:rsidRDefault="00E6504C" w:rsidP="00B15938">
      <w:pPr>
        <w:ind w:left="0"/>
        <w:rPr>
          <w:rFonts w:cs="Times New Roman"/>
          <w:sz w:val="22"/>
          <w:szCs w:val="22"/>
        </w:rPr>
      </w:pPr>
      <w:r w:rsidRPr="004B406F">
        <w:rPr>
          <w:rFonts w:cs="Times New Roman"/>
          <w:i/>
          <w:iCs/>
          <w:noProof/>
          <w:sz w:val="22"/>
          <w:szCs w:val="22"/>
          <w:lang w:eastAsia="pl-PL"/>
        </w:rPr>
        <w:t xml:space="preserve">Logo </w:t>
      </w:r>
      <w:r w:rsidR="00D22185" w:rsidRPr="004B406F">
        <w:rPr>
          <w:rFonts w:cs="Times New Roman"/>
          <w:i/>
          <w:iCs/>
          <w:noProof/>
          <w:sz w:val="22"/>
          <w:szCs w:val="22"/>
          <w:lang w:eastAsia="pl-PL"/>
        </w:rPr>
        <w:t>Wydziału</w:t>
      </w:r>
      <w:r w:rsidRPr="004B406F">
        <w:rPr>
          <w:rFonts w:cs="Times New Roman"/>
          <w:i/>
          <w:iCs/>
          <w:noProof/>
          <w:sz w:val="22"/>
          <w:szCs w:val="22"/>
          <w:lang w:eastAsia="pl-PL"/>
        </w:rPr>
        <w:t xml:space="preserve"> </w:t>
      </w:r>
      <w:r w:rsidR="00D71B9A" w:rsidRPr="004B406F">
        <w:rPr>
          <w:rFonts w:cs="Times New Roman"/>
          <w:i/>
          <w:iCs/>
          <w:noProof/>
          <w:sz w:val="22"/>
          <w:szCs w:val="22"/>
          <w:lang w:eastAsia="pl-PL"/>
        </w:rPr>
        <w:t xml:space="preserve">                                       </w:t>
      </w:r>
      <w:r w:rsidR="00284B96" w:rsidRPr="004B406F">
        <w:rPr>
          <w:rFonts w:cs="Times New Roman"/>
          <w:i/>
          <w:iCs/>
          <w:noProof/>
          <w:sz w:val="22"/>
          <w:szCs w:val="22"/>
          <w:lang w:eastAsia="pl-PL"/>
        </w:rPr>
        <w:t xml:space="preserve">                                          </w:t>
      </w:r>
      <w:r w:rsidR="00D71B9A" w:rsidRPr="004B406F">
        <w:rPr>
          <w:rFonts w:cs="Times New Roman"/>
          <w:i/>
          <w:iCs/>
          <w:noProof/>
          <w:sz w:val="22"/>
          <w:szCs w:val="22"/>
          <w:lang w:eastAsia="pl-PL"/>
        </w:rPr>
        <w:t xml:space="preserve">                                 </w:t>
      </w:r>
      <w:r w:rsidR="00D22185" w:rsidRPr="004B406F">
        <w:rPr>
          <w:rFonts w:cs="Times New Roman"/>
          <w:i/>
          <w:iCs/>
          <w:noProof/>
          <w:sz w:val="22"/>
          <w:szCs w:val="22"/>
          <w:lang w:eastAsia="pl-PL"/>
        </w:rPr>
        <w:t>Godło UŁ</w:t>
      </w:r>
    </w:p>
    <w:p w14:paraId="6DD1E100" w14:textId="27B1C020" w:rsidR="000166EF" w:rsidRPr="00134A16" w:rsidRDefault="000166EF" w:rsidP="00BC78BC">
      <w:pPr>
        <w:jc w:val="center"/>
        <w:rPr>
          <w:rFonts w:cs="Times New Roman"/>
          <w:sz w:val="22"/>
          <w:szCs w:val="22"/>
        </w:rPr>
      </w:pPr>
    </w:p>
    <w:p w14:paraId="377F994E" w14:textId="77777777" w:rsidR="000166EF" w:rsidRPr="00134A16" w:rsidRDefault="000166EF" w:rsidP="006164D4">
      <w:pPr>
        <w:rPr>
          <w:rFonts w:cs="Times New Roman"/>
          <w:sz w:val="22"/>
          <w:szCs w:val="22"/>
        </w:rPr>
      </w:pPr>
    </w:p>
    <w:p w14:paraId="646A7208" w14:textId="77777777" w:rsidR="00D71B9A" w:rsidRPr="00134A16" w:rsidRDefault="00D71B9A" w:rsidP="00BC78BC">
      <w:pPr>
        <w:jc w:val="center"/>
        <w:rPr>
          <w:rFonts w:cs="Times New Roman"/>
          <w:sz w:val="22"/>
          <w:szCs w:val="22"/>
        </w:rPr>
      </w:pPr>
    </w:p>
    <w:p w14:paraId="238C2B39" w14:textId="77777777" w:rsidR="00F87556" w:rsidRPr="00134A16" w:rsidRDefault="00F87556" w:rsidP="00E6504C">
      <w:pPr>
        <w:ind w:left="0"/>
        <w:rPr>
          <w:rFonts w:cs="Times New Roman"/>
          <w:sz w:val="22"/>
          <w:szCs w:val="22"/>
        </w:rPr>
      </w:pPr>
    </w:p>
    <w:p w14:paraId="5362F097" w14:textId="77777777" w:rsidR="00BC78BC" w:rsidRPr="00134A16" w:rsidRDefault="008A65C0" w:rsidP="00BC78BC">
      <w:pPr>
        <w:jc w:val="center"/>
        <w:rPr>
          <w:rFonts w:cs="Times New Roman"/>
          <w:b/>
          <w:bCs/>
          <w:sz w:val="22"/>
          <w:szCs w:val="22"/>
        </w:rPr>
      </w:pPr>
      <w:r w:rsidRPr="00134A16">
        <w:rPr>
          <w:rFonts w:cs="Times New Roman"/>
          <w:b/>
          <w:bCs/>
          <w:sz w:val="22"/>
          <w:szCs w:val="22"/>
        </w:rPr>
        <w:t>PROGRAM STUDIÓW</w:t>
      </w:r>
    </w:p>
    <w:p w14:paraId="4E0E0B75" w14:textId="77777777" w:rsidR="00BC78BC" w:rsidRPr="00134A16" w:rsidRDefault="00BC78BC" w:rsidP="00D71B9A">
      <w:pPr>
        <w:spacing w:line="360" w:lineRule="auto"/>
        <w:ind w:left="0"/>
        <w:rPr>
          <w:rFonts w:cs="Times New Roman"/>
          <w:sz w:val="22"/>
          <w:szCs w:val="22"/>
        </w:rPr>
      </w:pPr>
    </w:p>
    <w:p w14:paraId="0BDA6A0A" w14:textId="3FFF35FF" w:rsidR="00BC78BC" w:rsidRPr="00134A16" w:rsidRDefault="00E6504C" w:rsidP="00F051E2">
      <w:pPr>
        <w:spacing w:line="360" w:lineRule="auto"/>
        <w:jc w:val="center"/>
        <w:rPr>
          <w:rFonts w:cs="Times New Roman"/>
          <w:sz w:val="22"/>
          <w:szCs w:val="22"/>
        </w:rPr>
      </w:pPr>
      <w:r w:rsidRPr="00134A16">
        <w:rPr>
          <w:rFonts w:cs="Times New Roman"/>
          <w:sz w:val="22"/>
          <w:szCs w:val="22"/>
        </w:rPr>
        <w:t>…………………</w:t>
      </w:r>
      <w:r w:rsidR="00D71B9A" w:rsidRPr="00134A16">
        <w:rPr>
          <w:rFonts w:cs="Times New Roman"/>
          <w:sz w:val="22"/>
          <w:szCs w:val="22"/>
        </w:rPr>
        <w:t>……</w:t>
      </w:r>
    </w:p>
    <w:p w14:paraId="78EB3798" w14:textId="74146A8A" w:rsidR="00E6504C" w:rsidRPr="00134A16" w:rsidRDefault="00E6504C" w:rsidP="00F051E2">
      <w:pPr>
        <w:spacing w:line="360" w:lineRule="auto"/>
        <w:jc w:val="center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(nazwa kierunku)</w:t>
      </w:r>
    </w:p>
    <w:p w14:paraId="4E48136A" w14:textId="6BC2AF5F" w:rsidR="00E6504C" w:rsidRPr="00134A16" w:rsidRDefault="00E6504C" w:rsidP="00F051E2">
      <w:pPr>
        <w:spacing w:line="360" w:lineRule="auto"/>
        <w:jc w:val="center"/>
        <w:rPr>
          <w:rFonts w:cs="Times New Roman"/>
          <w:sz w:val="22"/>
          <w:szCs w:val="22"/>
        </w:rPr>
      </w:pPr>
      <w:r w:rsidRPr="00134A16">
        <w:rPr>
          <w:rFonts w:cs="Times New Roman"/>
          <w:sz w:val="22"/>
          <w:szCs w:val="22"/>
        </w:rPr>
        <w:t>………………………</w:t>
      </w:r>
    </w:p>
    <w:p w14:paraId="5522AFA3" w14:textId="5567F4C6" w:rsidR="00BC78BC" w:rsidRPr="00134A16" w:rsidRDefault="00E6504C" w:rsidP="00F051E2">
      <w:pPr>
        <w:spacing w:line="360" w:lineRule="auto"/>
        <w:jc w:val="center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(poziom)</w:t>
      </w:r>
    </w:p>
    <w:p w14:paraId="102630BE" w14:textId="1083D829" w:rsidR="00E6504C" w:rsidRPr="00134A16" w:rsidRDefault="00E6504C" w:rsidP="00F051E2">
      <w:pPr>
        <w:spacing w:line="360" w:lineRule="auto"/>
        <w:jc w:val="center"/>
        <w:rPr>
          <w:rFonts w:cs="Times New Roman"/>
          <w:sz w:val="22"/>
          <w:szCs w:val="22"/>
        </w:rPr>
      </w:pPr>
      <w:r w:rsidRPr="00134A16">
        <w:rPr>
          <w:rFonts w:cs="Times New Roman"/>
          <w:sz w:val="22"/>
          <w:szCs w:val="22"/>
        </w:rPr>
        <w:t>………………………</w:t>
      </w:r>
    </w:p>
    <w:p w14:paraId="062B04A0" w14:textId="0CC01A1E" w:rsidR="00791333" w:rsidRPr="00134A16" w:rsidRDefault="00E6504C" w:rsidP="000166EF">
      <w:pPr>
        <w:spacing w:line="360" w:lineRule="auto"/>
        <w:jc w:val="center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(</w:t>
      </w:r>
      <w:r w:rsidR="00BC78BC" w:rsidRPr="00134A16">
        <w:rPr>
          <w:rFonts w:cs="Times New Roman"/>
          <w:i/>
          <w:iCs/>
          <w:sz w:val="22"/>
          <w:szCs w:val="22"/>
        </w:rPr>
        <w:t>profil</w:t>
      </w:r>
      <w:r w:rsidRPr="00134A16">
        <w:rPr>
          <w:rFonts w:cs="Times New Roman"/>
          <w:i/>
          <w:iCs/>
          <w:sz w:val="22"/>
          <w:szCs w:val="22"/>
        </w:rPr>
        <w:t>)</w:t>
      </w:r>
    </w:p>
    <w:p w14:paraId="7DFEACB3" w14:textId="25412D93" w:rsidR="00BC78BC" w:rsidRPr="00134A16" w:rsidRDefault="00E6504C" w:rsidP="00563A0E">
      <w:pPr>
        <w:jc w:val="center"/>
        <w:rPr>
          <w:rFonts w:cs="Times New Roman"/>
          <w:sz w:val="22"/>
          <w:szCs w:val="22"/>
        </w:rPr>
      </w:pPr>
      <w:r w:rsidRPr="00134A16">
        <w:rPr>
          <w:rFonts w:cs="Times New Roman"/>
          <w:sz w:val="22"/>
          <w:szCs w:val="22"/>
        </w:rPr>
        <w:t>…………………………….</w:t>
      </w:r>
    </w:p>
    <w:p w14:paraId="507E2F87" w14:textId="4D1AC923" w:rsidR="00E6504C" w:rsidRPr="00134A16" w:rsidRDefault="00E6504C" w:rsidP="00563A0E">
      <w:pPr>
        <w:jc w:val="center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(początek obowiązywania</w:t>
      </w:r>
      <w:r w:rsidR="00D71B9A" w:rsidRPr="00134A16">
        <w:rPr>
          <w:rFonts w:cs="Times New Roman"/>
          <w:i/>
          <w:iCs/>
          <w:sz w:val="22"/>
          <w:szCs w:val="22"/>
        </w:rPr>
        <w:t xml:space="preserve"> – wskazanie roku akademickiego</w:t>
      </w:r>
      <w:r w:rsidRPr="00134A16">
        <w:rPr>
          <w:rFonts w:cs="Times New Roman"/>
          <w:i/>
          <w:iCs/>
          <w:sz w:val="22"/>
          <w:szCs w:val="22"/>
        </w:rPr>
        <w:t>)</w:t>
      </w:r>
    </w:p>
    <w:p w14:paraId="2E345D51" w14:textId="77777777" w:rsidR="00951E1E" w:rsidRPr="00134A16" w:rsidRDefault="00951E1E" w:rsidP="00563A0E">
      <w:pPr>
        <w:jc w:val="center"/>
        <w:rPr>
          <w:rFonts w:cs="Times New Roman"/>
          <w:sz w:val="22"/>
          <w:szCs w:val="22"/>
        </w:rPr>
      </w:pPr>
    </w:p>
    <w:p w14:paraId="29ECC3DE" w14:textId="77777777" w:rsidR="00951E1E" w:rsidRPr="00134A16" w:rsidRDefault="00951E1E" w:rsidP="00BC78BC">
      <w:pPr>
        <w:jc w:val="center"/>
        <w:rPr>
          <w:rFonts w:cs="Times New Roman"/>
          <w:sz w:val="22"/>
          <w:szCs w:val="22"/>
        </w:rPr>
      </w:pPr>
    </w:p>
    <w:p w14:paraId="7B22F483" w14:textId="77777777" w:rsidR="00BC78BC" w:rsidRPr="00134A16" w:rsidRDefault="00BC78BC" w:rsidP="00BC78BC">
      <w:pPr>
        <w:jc w:val="center"/>
        <w:rPr>
          <w:rFonts w:cs="Times New Roman"/>
          <w:sz w:val="22"/>
          <w:szCs w:val="22"/>
        </w:rPr>
      </w:pPr>
    </w:p>
    <w:p w14:paraId="070B2FC4" w14:textId="77777777" w:rsidR="00BC78BC" w:rsidRPr="00134A16" w:rsidRDefault="00BC78BC" w:rsidP="00BC78BC">
      <w:pPr>
        <w:spacing w:line="360" w:lineRule="auto"/>
        <w:rPr>
          <w:rFonts w:cs="Times New Roman"/>
          <w:sz w:val="22"/>
          <w:szCs w:val="22"/>
        </w:rPr>
      </w:pPr>
    </w:p>
    <w:p w14:paraId="53343484" w14:textId="40B6B875" w:rsidR="00765559" w:rsidRPr="00134A16" w:rsidRDefault="00765559" w:rsidP="00BC78BC">
      <w:pPr>
        <w:spacing w:line="360" w:lineRule="auto"/>
        <w:rPr>
          <w:rFonts w:cs="Times New Roman"/>
          <w:sz w:val="22"/>
          <w:szCs w:val="22"/>
        </w:rPr>
      </w:pPr>
    </w:p>
    <w:p w14:paraId="6AB0980E" w14:textId="77777777" w:rsidR="000166EF" w:rsidRPr="00134A16" w:rsidRDefault="000166EF" w:rsidP="00FB4488">
      <w:pPr>
        <w:spacing w:line="360" w:lineRule="auto"/>
        <w:ind w:left="0"/>
        <w:rPr>
          <w:rFonts w:cs="Times New Roman"/>
          <w:sz w:val="22"/>
          <w:szCs w:val="22"/>
        </w:rPr>
      </w:pPr>
    </w:p>
    <w:p w14:paraId="14CF7C47" w14:textId="616C3CE8" w:rsidR="00BC78BC" w:rsidRPr="00134A16" w:rsidRDefault="00E6504C" w:rsidP="00BC78BC">
      <w:pPr>
        <w:rPr>
          <w:rFonts w:cs="Times New Roman"/>
          <w:sz w:val="22"/>
          <w:szCs w:val="22"/>
        </w:rPr>
      </w:pPr>
      <w:r w:rsidRPr="00134A16">
        <w:rPr>
          <w:rFonts w:cs="Times New Roman"/>
          <w:sz w:val="22"/>
          <w:szCs w:val="22"/>
        </w:rPr>
        <w:t>…………………………………………</w:t>
      </w:r>
      <w:r w:rsidR="00D71B9A" w:rsidRPr="00134A16">
        <w:rPr>
          <w:rFonts w:cs="Times New Roman"/>
          <w:sz w:val="22"/>
          <w:szCs w:val="22"/>
        </w:rPr>
        <w:t>……………………………………………………</w:t>
      </w:r>
    </w:p>
    <w:p w14:paraId="68995E45" w14:textId="182C6663" w:rsidR="00E6504C" w:rsidRPr="00134A16" w:rsidRDefault="00E6504C" w:rsidP="00D71B9A">
      <w:pPr>
        <w:jc w:val="center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(</w:t>
      </w:r>
      <w:r w:rsidR="00804CE8">
        <w:rPr>
          <w:rFonts w:cs="Times New Roman"/>
          <w:i/>
          <w:iCs/>
          <w:sz w:val="22"/>
          <w:szCs w:val="22"/>
        </w:rPr>
        <w:t xml:space="preserve">opcjonalnie - </w:t>
      </w:r>
      <w:r w:rsidRPr="00134A16">
        <w:rPr>
          <w:rFonts w:cs="Times New Roman"/>
          <w:i/>
          <w:iCs/>
          <w:sz w:val="22"/>
          <w:szCs w:val="22"/>
        </w:rPr>
        <w:t xml:space="preserve">informacja o uchwale Rady Wydziału zatwierdzającej </w:t>
      </w:r>
      <w:r w:rsidR="00467A0A">
        <w:rPr>
          <w:rFonts w:cs="Times New Roman"/>
          <w:i/>
          <w:iCs/>
          <w:sz w:val="22"/>
          <w:szCs w:val="22"/>
        </w:rPr>
        <w:t xml:space="preserve">projekt </w:t>
      </w:r>
      <w:r w:rsidRPr="00134A16">
        <w:rPr>
          <w:rFonts w:cs="Times New Roman"/>
          <w:i/>
          <w:iCs/>
          <w:sz w:val="22"/>
          <w:szCs w:val="22"/>
        </w:rPr>
        <w:t>program</w:t>
      </w:r>
      <w:r w:rsidR="00467A0A">
        <w:rPr>
          <w:rFonts w:cs="Times New Roman"/>
          <w:i/>
          <w:iCs/>
          <w:sz w:val="22"/>
          <w:szCs w:val="22"/>
        </w:rPr>
        <w:t>u</w:t>
      </w:r>
      <w:r w:rsidRPr="00134A16">
        <w:rPr>
          <w:rFonts w:cs="Times New Roman"/>
          <w:i/>
          <w:iCs/>
          <w:sz w:val="22"/>
          <w:szCs w:val="22"/>
        </w:rPr>
        <w:t xml:space="preserve"> studiów)</w:t>
      </w:r>
    </w:p>
    <w:p w14:paraId="32E55514" w14:textId="22FDB337" w:rsidR="00FC1459" w:rsidRPr="00134A16" w:rsidRDefault="00FC1459" w:rsidP="00D71B9A">
      <w:pPr>
        <w:jc w:val="center"/>
        <w:rPr>
          <w:rFonts w:cs="Times New Roman"/>
          <w:i/>
          <w:iCs/>
          <w:sz w:val="22"/>
          <w:szCs w:val="22"/>
        </w:rPr>
      </w:pPr>
    </w:p>
    <w:p w14:paraId="79D0FB60" w14:textId="61488D21" w:rsidR="00FC1459" w:rsidRPr="00134A16" w:rsidRDefault="00FC1459" w:rsidP="00D71B9A">
      <w:pPr>
        <w:jc w:val="center"/>
        <w:rPr>
          <w:rFonts w:cs="Times New Roman"/>
          <w:i/>
          <w:iCs/>
          <w:sz w:val="22"/>
          <w:szCs w:val="22"/>
        </w:rPr>
      </w:pPr>
    </w:p>
    <w:p w14:paraId="375B238C" w14:textId="3E6F95AA" w:rsidR="00FC1459" w:rsidRPr="00134A16" w:rsidRDefault="00FC1459" w:rsidP="00D71B9A">
      <w:pPr>
        <w:jc w:val="center"/>
        <w:rPr>
          <w:rFonts w:cs="Times New Roman"/>
          <w:i/>
          <w:iCs/>
          <w:sz w:val="22"/>
          <w:szCs w:val="22"/>
        </w:rPr>
      </w:pPr>
    </w:p>
    <w:p w14:paraId="72AD7910" w14:textId="77777777" w:rsidR="00FC1459" w:rsidRPr="00134A16" w:rsidRDefault="00FC1459" w:rsidP="00D71B9A">
      <w:pPr>
        <w:jc w:val="center"/>
        <w:rPr>
          <w:rFonts w:cs="Times New Roman"/>
          <w:i/>
          <w:iCs/>
          <w:sz w:val="22"/>
          <w:szCs w:val="22"/>
        </w:rPr>
      </w:pPr>
    </w:p>
    <w:p w14:paraId="0636A6F8" w14:textId="23126674" w:rsidR="001A35AD" w:rsidRPr="00134A16" w:rsidRDefault="001A35AD" w:rsidP="009E36EF">
      <w:pPr>
        <w:pageBreakBefore/>
        <w:numPr>
          <w:ilvl w:val="0"/>
          <w:numId w:val="3"/>
        </w:numPr>
        <w:tabs>
          <w:tab w:val="left" w:pos="0"/>
          <w:tab w:val="left" w:pos="426"/>
        </w:tabs>
        <w:spacing w:after="120" w:line="276" w:lineRule="auto"/>
        <w:rPr>
          <w:rFonts w:cs="Times New Roman"/>
          <w:b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lastRenderedPageBreak/>
        <w:t xml:space="preserve">Kierunek </w:t>
      </w:r>
      <w:r w:rsidR="008A65C0" w:rsidRPr="00134A16">
        <w:rPr>
          <w:rFonts w:cs="Times New Roman"/>
          <w:b/>
          <w:sz w:val="22"/>
          <w:szCs w:val="22"/>
          <w:lang w:eastAsia="zh-CN"/>
        </w:rPr>
        <w:t>studiów</w:t>
      </w:r>
      <w:r w:rsidR="00815B20" w:rsidRPr="00134A16">
        <w:rPr>
          <w:rFonts w:cs="Times New Roman"/>
          <w:b/>
          <w:sz w:val="22"/>
          <w:szCs w:val="22"/>
          <w:lang w:eastAsia="zh-CN"/>
        </w:rPr>
        <w:t xml:space="preserve"> </w:t>
      </w:r>
      <w:r w:rsidR="0037133D" w:rsidRPr="00134A16">
        <w:rPr>
          <w:rFonts w:cs="Times New Roman"/>
          <w:sz w:val="22"/>
          <w:szCs w:val="22"/>
          <w:lang w:eastAsia="zh-CN"/>
        </w:rPr>
        <w:t>–</w:t>
      </w:r>
      <w:r w:rsidR="00815B20" w:rsidRPr="00134A16">
        <w:rPr>
          <w:rFonts w:cs="Times New Roman"/>
          <w:sz w:val="22"/>
          <w:szCs w:val="22"/>
          <w:lang w:eastAsia="zh-CN"/>
        </w:rPr>
        <w:t xml:space="preserve"> </w:t>
      </w:r>
      <w:r w:rsidR="00C6372A" w:rsidRPr="00134A16">
        <w:rPr>
          <w:rFonts w:cs="Times New Roman"/>
          <w:i/>
          <w:iCs/>
          <w:sz w:val="22"/>
          <w:szCs w:val="22"/>
          <w:lang w:eastAsia="zh-CN"/>
        </w:rPr>
        <w:t>nazwa kierunku</w:t>
      </w:r>
      <w:r w:rsidR="00CC5A1D" w:rsidRPr="00134A16">
        <w:rPr>
          <w:rFonts w:cs="Times New Roman"/>
          <w:i/>
          <w:iCs/>
          <w:sz w:val="22"/>
          <w:szCs w:val="22"/>
          <w:lang w:eastAsia="zh-CN"/>
        </w:rPr>
        <w:t xml:space="preserve"> adekwatna do zakładanych efektów uczenia się</w:t>
      </w:r>
      <w:r w:rsidR="00467A0A">
        <w:rPr>
          <w:rFonts w:cs="Times New Roman"/>
          <w:i/>
          <w:iCs/>
          <w:sz w:val="22"/>
          <w:szCs w:val="22"/>
          <w:lang w:eastAsia="zh-CN"/>
        </w:rPr>
        <w:t xml:space="preserve"> oraz dyscypliny</w:t>
      </w:r>
      <w:r w:rsidR="002D6066">
        <w:rPr>
          <w:rFonts w:cs="Times New Roman"/>
          <w:i/>
          <w:iCs/>
          <w:sz w:val="22"/>
          <w:szCs w:val="22"/>
          <w:lang w:eastAsia="zh-CN"/>
        </w:rPr>
        <w:t>/dyscypliny wiodącej, do której został przyporządkowany</w:t>
      </w:r>
    </w:p>
    <w:p w14:paraId="7D7737AA" w14:textId="299A0441" w:rsidR="001A5E15" w:rsidRPr="00134A16" w:rsidRDefault="001A5E15" w:rsidP="001A5E15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rPr>
          <w:rFonts w:cs="Times New Roman"/>
          <w:i/>
          <w:color w:val="00B0F0"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Zwięzły opis kierunku </w:t>
      </w:r>
      <w:r w:rsidR="00CC5A1D" w:rsidRPr="00134A16">
        <w:rPr>
          <w:rFonts w:cs="Times New Roman"/>
          <w:b/>
          <w:sz w:val="22"/>
          <w:szCs w:val="22"/>
          <w:lang w:eastAsia="zh-CN"/>
        </w:rPr>
        <w:t xml:space="preserve">– </w:t>
      </w:r>
      <w:r w:rsidR="00CC5A1D" w:rsidRPr="00134A16">
        <w:rPr>
          <w:rFonts w:cs="Times New Roman"/>
          <w:bCs/>
          <w:i/>
          <w:iCs/>
          <w:sz w:val="22"/>
          <w:szCs w:val="22"/>
          <w:lang w:eastAsia="zh-CN"/>
        </w:rPr>
        <w:t>do 2000 znaków, licząc ze spacjami</w:t>
      </w:r>
      <w:r w:rsidR="008A3746">
        <w:rPr>
          <w:rFonts w:cs="Times New Roman"/>
          <w:bCs/>
          <w:i/>
          <w:iCs/>
          <w:sz w:val="22"/>
          <w:szCs w:val="22"/>
          <w:lang w:eastAsia="zh-CN"/>
        </w:rPr>
        <w:t xml:space="preserve"> </w:t>
      </w:r>
      <w:r w:rsidR="00FE336F">
        <w:rPr>
          <w:rFonts w:cs="Times New Roman"/>
          <w:bCs/>
          <w:i/>
          <w:iCs/>
          <w:sz w:val="22"/>
          <w:szCs w:val="22"/>
          <w:lang w:eastAsia="zh-CN"/>
        </w:rPr>
        <w:t>–</w:t>
      </w:r>
      <w:r w:rsidR="008A3746">
        <w:rPr>
          <w:rFonts w:cs="Times New Roman"/>
          <w:bCs/>
          <w:i/>
          <w:iCs/>
          <w:sz w:val="22"/>
          <w:szCs w:val="22"/>
          <w:lang w:eastAsia="zh-CN"/>
        </w:rPr>
        <w:t xml:space="preserve"> </w:t>
      </w:r>
      <w:r w:rsidR="00FE336F">
        <w:rPr>
          <w:rFonts w:cs="Times New Roman"/>
          <w:bCs/>
          <w:i/>
          <w:iCs/>
          <w:sz w:val="22"/>
          <w:szCs w:val="22"/>
          <w:lang w:eastAsia="zh-CN"/>
        </w:rPr>
        <w:t>zróżnicowan</w:t>
      </w:r>
      <w:r w:rsidR="00877F1B">
        <w:rPr>
          <w:rFonts w:cs="Times New Roman"/>
          <w:bCs/>
          <w:i/>
          <w:iCs/>
          <w:sz w:val="22"/>
          <w:szCs w:val="22"/>
          <w:lang w:eastAsia="zh-CN"/>
        </w:rPr>
        <w:t>y</w:t>
      </w:r>
      <w:r w:rsidR="00FE336F">
        <w:rPr>
          <w:rFonts w:cs="Times New Roman"/>
          <w:bCs/>
          <w:i/>
          <w:iCs/>
          <w:sz w:val="22"/>
          <w:szCs w:val="22"/>
          <w:lang w:eastAsia="zh-CN"/>
        </w:rPr>
        <w:t xml:space="preserve"> w </w:t>
      </w:r>
      <w:r w:rsidR="00E14FA0">
        <w:rPr>
          <w:rFonts w:cs="Times New Roman"/>
          <w:bCs/>
          <w:i/>
          <w:iCs/>
          <w:sz w:val="22"/>
          <w:szCs w:val="22"/>
          <w:lang w:eastAsia="zh-CN"/>
        </w:rPr>
        <w:t xml:space="preserve">zakresie </w:t>
      </w:r>
      <w:r w:rsidR="00FE336F">
        <w:rPr>
          <w:rFonts w:cs="Times New Roman"/>
          <w:bCs/>
          <w:i/>
          <w:iCs/>
          <w:sz w:val="22"/>
          <w:szCs w:val="22"/>
          <w:lang w:eastAsia="zh-CN"/>
        </w:rPr>
        <w:t xml:space="preserve"> poziomu studiów</w:t>
      </w:r>
    </w:p>
    <w:p w14:paraId="13EB41AE" w14:textId="4A0E84FE" w:rsidR="001A35AD" w:rsidRPr="00134A16" w:rsidRDefault="001A35AD" w:rsidP="005A2BAE">
      <w:pPr>
        <w:numPr>
          <w:ilvl w:val="0"/>
          <w:numId w:val="3"/>
        </w:numPr>
        <w:tabs>
          <w:tab w:val="num" w:pos="0"/>
          <w:tab w:val="left" w:pos="426"/>
        </w:tabs>
        <w:spacing w:before="360" w:after="120" w:line="276" w:lineRule="auto"/>
        <w:rPr>
          <w:rFonts w:cs="Times New Roman"/>
          <w:b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Poziom studiów </w:t>
      </w:r>
      <w:r w:rsidRPr="00134A16">
        <w:rPr>
          <w:rFonts w:cs="Times New Roman"/>
          <w:sz w:val="22"/>
          <w:szCs w:val="22"/>
          <w:lang w:eastAsia="zh-CN"/>
        </w:rPr>
        <w:t xml:space="preserve">– </w:t>
      </w:r>
      <w:r w:rsidR="00D71F61" w:rsidRPr="00134A16">
        <w:rPr>
          <w:rFonts w:cs="Times New Roman"/>
          <w:i/>
          <w:iCs/>
          <w:sz w:val="22"/>
          <w:szCs w:val="22"/>
          <w:lang w:eastAsia="zh-CN"/>
        </w:rPr>
        <w:t>I stopień, II stopień, jednolite studia magisterskie</w:t>
      </w:r>
    </w:p>
    <w:p w14:paraId="43436DCD" w14:textId="485A63AA" w:rsidR="001A35AD" w:rsidRPr="00134A16" w:rsidRDefault="001A35AD" w:rsidP="00184B55">
      <w:pPr>
        <w:numPr>
          <w:ilvl w:val="0"/>
          <w:numId w:val="3"/>
        </w:numPr>
        <w:tabs>
          <w:tab w:val="left" w:pos="426"/>
        </w:tabs>
        <w:spacing w:before="360" w:after="60" w:line="276" w:lineRule="auto"/>
        <w:rPr>
          <w:rFonts w:cs="Times New Roman"/>
          <w:i/>
          <w:iCs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Profil </w:t>
      </w:r>
      <w:r w:rsidR="008A65C0" w:rsidRPr="00134A16">
        <w:rPr>
          <w:rFonts w:cs="Times New Roman"/>
          <w:b/>
          <w:sz w:val="22"/>
          <w:szCs w:val="22"/>
          <w:lang w:eastAsia="zh-CN"/>
        </w:rPr>
        <w:t>studiów</w:t>
      </w:r>
      <w:r w:rsidRPr="00134A16">
        <w:rPr>
          <w:rFonts w:cs="Times New Roman"/>
          <w:b/>
          <w:sz w:val="22"/>
          <w:szCs w:val="22"/>
          <w:lang w:eastAsia="zh-CN"/>
        </w:rPr>
        <w:softHyphen/>
      </w:r>
      <w:r w:rsidRPr="00134A16">
        <w:rPr>
          <w:rFonts w:cs="Times New Roman"/>
          <w:sz w:val="22"/>
          <w:szCs w:val="22"/>
          <w:lang w:eastAsia="zh-CN"/>
        </w:rPr>
        <w:t xml:space="preserve"> – </w:t>
      </w:r>
      <w:r w:rsidRPr="00134A16">
        <w:rPr>
          <w:rFonts w:cs="Times New Roman"/>
          <w:b/>
          <w:bCs/>
          <w:i/>
          <w:iCs/>
          <w:sz w:val="22"/>
          <w:szCs w:val="22"/>
          <w:lang w:eastAsia="zh-CN"/>
        </w:rPr>
        <w:t>ogólnoakademicki</w:t>
      </w:r>
      <w:r w:rsidR="00184B55" w:rsidRPr="00134A16">
        <w:rPr>
          <w:rFonts w:cs="Times New Roman"/>
          <w:b/>
          <w:bCs/>
          <w:i/>
          <w:iCs/>
          <w:sz w:val="22"/>
          <w:szCs w:val="22"/>
          <w:lang w:eastAsia="zh-CN"/>
        </w:rPr>
        <w:t xml:space="preserve"> </w:t>
      </w:r>
      <w:r w:rsidR="00184B55" w:rsidRPr="00134A16">
        <w:rPr>
          <w:rFonts w:cs="Times New Roman"/>
          <w:i/>
          <w:iCs/>
          <w:sz w:val="22"/>
          <w:szCs w:val="22"/>
          <w:lang w:eastAsia="zh-CN"/>
        </w:rPr>
        <w:t xml:space="preserve">(obejmuje zajęcia związane z prowadzoną w uczelni działalnością naukową w dyscyplinie lub dyscyplinach, do których przyporządkowany jest kierunek studiów, w wymiarze większym niż 50% łącznej liczby punktów ECTS  i uwzględnia udział studentów w zajęciach przygotowujących do prowadzenia działalności naukowej lub udział w tej działalności), </w:t>
      </w:r>
      <w:r w:rsidR="00184B55" w:rsidRPr="00134A16">
        <w:rPr>
          <w:rFonts w:cs="Times New Roman"/>
          <w:b/>
          <w:bCs/>
          <w:i/>
          <w:iCs/>
          <w:sz w:val="22"/>
          <w:szCs w:val="22"/>
          <w:lang w:eastAsia="zh-CN"/>
        </w:rPr>
        <w:t>p</w:t>
      </w:r>
      <w:r w:rsidR="00DF5972" w:rsidRPr="00134A16">
        <w:rPr>
          <w:rFonts w:cs="Times New Roman"/>
          <w:b/>
          <w:bCs/>
          <w:i/>
          <w:iCs/>
          <w:sz w:val="22"/>
          <w:szCs w:val="22"/>
          <w:lang w:eastAsia="zh-CN"/>
        </w:rPr>
        <w:t>raktyczny</w:t>
      </w:r>
      <w:r w:rsidR="00184B55" w:rsidRPr="00134A16">
        <w:rPr>
          <w:rFonts w:cs="Times New Roman"/>
          <w:i/>
          <w:iCs/>
          <w:sz w:val="22"/>
          <w:szCs w:val="22"/>
          <w:lang w:eastAsia="zh-CN"/>
        </w:rPr>
        <w:t xml:space="preserve"> (obejmuje zajęcia kształtujące umiejętności praktyczne w wymiarze większym niż 50% łącznej liczby punktów ECTS)</w:t>
      </w:r>
    </w:p>
    <w:p w14:paraId="0CD83727" w14:textId="7A20A981" w:rsidR="001A35AD" w:rsidRPr="003F2104" w:rsidRDefault="001A35AD" w:rsidP="003F2104">
      <w:pPr>
        <w:numPr>
          <w:ilvl w:val="0"/>
          <w:numId w:val="3"/>
        </w:numPr>
        <w:tabs>
          <w:tab w:val="left" w:pos="426"/>
        </w:tabs>
        <w:spacing w:before="360" w:line="276" w:lineRule="auto"/>
        <w:rPr>
          <w:rFonts w:cs="Times New Roman"/>
          <w:i/>
          <w:iCs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Forma studiów </w:t>
      </w:r>
      <w:r w:rsidRPr="00134A16">
        <w:rPr>
          <w:rFonts w:cs="Times New Roman"/>
          <w:sz w:val="22"/>
          <w:szCs w:val="22"/>
          <w:lang w:eastAsia="zh-CN"/>
        </w:rPr>
        <w:t xml:space="preserve">– </w:t>
      </w:r>
      <w:r w:rsidRPr="003F2104">
        <w:rPr>
          <w:rFonts w:cs="Times New Roman"/>
          <w:b/>
          <w:bCs/>
          <w:i/>
          <w:iCs/>
          <w:sz w:val="22"/>
          <w:szCs w:val="22"/>
          <w:lang w:eastAsia="zh-CN"/>
        </w:rPr>
        <w:t>stacjonarne</w:t>
      </w:r>
      <w:r w:rsidR="003F2104">
        <w:rPr>
          <w:rFonts w:cs="Times New Roman"/>
          <w:i/>
          <w:iCs/>
          <w:sz w:val="22"/>
          <w:szCs w:val="22"/>
          <w:lang w:eastAsia="zh-CN"/>
        </w:rPr>
        <w:t xml:space="preserve"> (</w:t>
      </w:r>
      <w:r w:rsidR="003F2104" w:rsidRPr="003F2104">
        <w:rPr>
          <w:rFonts w:cs="Times New Roman"/>
          <w:i/>
          <w:iCs/>
          <w:sz w:val="22"/>
          <w:szCs w:val="22"/>
          <w:lang w:eastAsia="zh-CN"/>
        </w:rPr>
        <w:t>co najmniej połowa punktów ECTS objętych programem studiów jest uzyskiwana w ramach zajęć z bezpośrednim  udziałem nauczycieli akademickich lub innych osób prowadzących zajęcia i studentów)</w:t>
      </w:r>
      <w:r w:rsidR="00DF5972" w:rsidRPr="003F2104">
        <w:rPr>
          <w:rFonts w:cs="Times New Roman"/>
          <w:i/>
          <w:iCs/>
          <w:sz w:val="22"/>
          <w:szCs w:val="22"/>
          <w:lang w:eastAsia="zh-CN"/>
        </w:rPr>
        <w:t>,</w:t>
      </w:r>
      <w:r w:rsidR="00DF5972" w:rsidRPr="003F2104">
        <w:rPr>
          <w:rFonts w:cs="Times New Roman"/>
          <w:b/>
          <w:bCs/>
          <w:i/>
          <w:iCs/>
          <w:sz w:val="22"/>
          <w:szCs w:val="22"/>
          <w:lang w:eastAsia="zh-CN"/>
        </w:rPr>
        <w:t xml:space="preserve"> </w:t>
      </w:r>
      <w:r w:rsidR="005B2456" w:rsidRPr="003F2104">
        <w:rPr>
          <w:rFonts w:cs="Times New Roman"/>
          <w:b/>
          <w:bCs/>
          <w:i/>
          <w:iCs/>
          <w:sz w:val="22"/>
          <w:szCs w:val="22"/>
          <w:lang w:eastAsia="zh-CN"/>
        </w:rPr>
        <w:t>niestacjonarne</w:t>
      </w:r>
      <w:r w:rsidR="003F2104">
        <w:rPr>
          <w:rFonts w:cs="Times New Roman"/>
          <w:i/>
          <w:iCs/>
          <w:sz w:val="22"/>
          <w:szCs w:val="22"/>
          <w:lang w:eastAsia="zh-CN"/>
        </w:rPr>
        <w:t xml:space="preserve"> (</w:t>
      </w:r>
      <w:r w:rsidR="003F2104" w:rsidRPr="003F2104">
        <w:rPr>
          <w:rFonts w:cs="Times New Roman"/>
          <w:i/>
          <w:iCs/>
          <w:sz w:val="22"/>
          <w:szCs w:val="22"/>
          <w:lang w:eastAsia="zh-CN"/>
        </w:rPr>
        <w:t>mniej niż połowa punktów ECTS objętych programem studiów może być uzyskiwana z bezpośrednim udziałem nauczycieli akademickich lub innych osób prowadzących zajęcia i studentów</w:t>
      </w:r>
      <w:r w:rsidR="003F2104">
        <w:rPr>
          <w:rFonts w:cs="Times New Roman"/>
          <w:i/>
          <w:iCs/>
          <w:sz w:val="22"/>
          <w:szCs w:val="22"/>
          <w:lang w:eastAsia="zh-CN"/>
        </w:rPr>
        <w:t>)</w:t>
      </w:r>
    </w:p>
    <w:p w14:paraId="5DC8994D" w14:textId="3612A8F0" w:rsidR="001A35AD" w:rsidRPr="00134A16" w:rsidRDefault="001A35AD" w:rsidP="005A2BAE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rPr>
          <w:rFonts w:cs="Times New Roman"/>
          <w:bCs/>
          <w:i/>
          <w:iCs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Cele kształcenia </w:t>
      </w:r>
      <w:r w:rsidR="00322D32" w:rsidRPr="00134A16">
        <w:rPr>
          <w:rFonts w:cs="Times New Roman"/>
          <w:b/>
          <w:sz w:val="22"/>
          <w:szCs w:val="22"/>
          <w:lang w:eastAsia="zh-CN"/>
        </w:rPr>
        <w:t xml:space="preserve"> </w:t>
      </w:r>
      <w:r w:rsidR="00322D32" w:rsidRPr="00134A16">
        <w:rPr>
          <w:rFonts w:cs="Times New Roman"/>
          <w:bCs/>
          <w:i/>
          <w:iCs/>
          <w:sz w:val="22"/>
          <w:szCs w:val="22"/>
          <w:lang w:eastAsia="zh-CN"/>
        </w:rPr>
        <w:t>- określenie zasadniczych celów kształcenia</w:t>
      </w:r>
      <w:r w:rsidR="00A347A7" w:rsidRPr="00134A16">
        <w:rPr>
          <w:rFonts w:cs="Times New Roman"/>
          <w:bCs/>
          <w:i/>
          <w:iCs/>
          <w:sz w:val="22"/>
          <w:szCs w:val="22"/>
          <w:lang w:eastAsia="zh-CN"/>
        </w:rPr>
        <w:t>, w tym nabywanych przez absolwenta kwalifikacji</w:t>
      </w:r>
    </w:p>
    <w:p w14:paraId="6E98034D" w14:textId="36DF16AA" w:rsidR="001A35AD" w:rsidRPr="00134A16" w:rsidRDefault="001A35AD" w:rsidP="005A2BAE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rPr>
          <w:rFonts w:cs="Times New Roman"/>
          <w:b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 xml:space="preserve">Tytuł zawodowy </w:t>
      </w:r>
      <w:r w:rsidRPr="00134A16">
        <w:rPr>
          <w:rFonts w:cs="Times New Roman"/>
          <w:b/>
          <w:i/>
          <w:iCs/>
          <w:sz w:val="22"/>
          <w:szCs w:val="22"/>
          <w:lang w:eastAsia="zh-CN"/>
        </w:rPr>
        <w:t>–</w:t>
      </w:r>
      <w:r w:rsidR="00815B20" w:rsidRPr="00134A16">
        <w:rPr>
          <w:rFonts w:cs="Times New Roman"/>
          <w:b/>
          <w:i/>
          <w:iCs/>
          <w:sz w:val="22"/>
          <w:szCs w:val="22"/>
          <w:lang w:eastAsia="zh-CN"/>
        </w:rPr>
        <w:t xml:space="preserve"> </w:t>
      </w:r>
      <w:r w:rsidR="00F051E2" w:rsidRPr="00134A16">
        <w:rPr>
          <w:rFonts w:cs="Times New Roman"/>
          <w:i/>
          <w:iCs/>
          <w:sz w:val="22"/>
          <w:szCs w:val="22"/>
          <w:lang w:eastAsia="zh-CN"/>
        </w:rPr>
        <w:t>licencjat</w:t>
      </w:r>
      <w:r w:rsidR="00A347A7" w:rsidRPr="00134A16">
        <w:rPr>
          <w:rFonts w:cs="Times New Roman"/>
          <w:i/>
          <w:iCs/>
          <w:sz w:val="22"/>
          <w:szCs w:val="22"/>
          <w:lang w:eastAsia="zh-CN"/>
        </w:rPr>
        <w:t xml:space="preserve">, </w:t>
      </w:r>
      <w:r w:rsidR="00F051E2" w:rsidRPr="00134A16">
        <w:rPr>
          <w:rFonts w:cs="Times New Roman"/>
          <w:i/>
          <w:iCs/>
          <w:sz w:val="22"/>
          <w:szCs w:val="22"/>
          <w:lang w:eastAsia="zh-CN"/>
        </w:rPr>
        <w:t>inżynier</w:t>
      </w:r>
      <w:r w:rsidR="00F674EF">
        <w:rPr>
          <w:rFonts w:cs="Times New Roman"/>
          <w:i/>
          <w:iCs/>
          <w:sz w:val="22"/>
          <w:szCs w:val="22"/>
          <w:lang w:eastAsia="zh-CN"/>
        </w:rPr>
        <w:t xml:space="preserve"> </w:t>
      </w:r>
      <w:r w:rsidR="00873AC3">
        <w:rPr>
          <w:rFonts w:cs="Times New Roman"/>
          <w:i/>
          <w:iCs/>
          <w:sz w:val="22"/>
          <w:szCs w:val="22"/>
          <w:lang w:eastAsia="zh-CN"/>
        </w:rPr>
        <w:t>lub</w:t>
      </w:r>
      <w:r w:rsidR="00A347A7" w:rsidRPr="00134A16">
        <w:rPr>
          <w:rFonts w:cs="Times New Roman"/>
          <w:i/>
          <w:iCs/>
          <w:sz w:val="22"/>
          <w:szCs w:val="22"/>
          <w:lang w:eastAsia="zh-CN"/>
        </w:rPr>
        <w:t xml:space="preserve"> magister</w:t>
      </w:r>
    </w:p>
    <w:p w14:paraId="58C3A405" w14:textId="4371AD17" w:rsidR="001A35AD" w:rsidRPr="00134A16" w:rsidRDefault="001A35AD" w:rsidP="005A2BAE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rPr>
          <w:rFonts w:cs="Times New Roman"/>
          <w:bCs/>
          <w:i/>
          <w:iCs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>Możliwości zatrudnienia</w:t>
      </w:r>
      <w:r w:rsidR="00A347A7" w:rsidRPr="00134A16">
        <w:rPr>
          <w:rFonts w:cs="Times New Roman"/>
          <w:b/>
          <w:sz w:val="22"/>
          <w:szCs w:val="22"/>
          <w:lang w:eastAsia="zh-CN"/>
        </w:rPr>
        <w:t xml:space="preserve"> i kontynuacja kształcenia absolwenta –</w:t>
      </w:r>
      <w:r w:rsidR="00295D3E" w:rsidRPr="00134A16">
        <w:rPr>
          <w:rFonts w:cs="Times New Roman"/>
          <w:bCs/>
          <w:i/>
          <w:iCs/>
          <w:sz w:val="22"/>
          <w:szCs w:val="22"/>
          <w:lang w:eastAsia="zh-CN"/>
        </w:rPr>
        <w:t xml:space="preserve"> należy wskazać zawody, które mogą być wykonywane przez absolwenta kierunku studiów na podstawie rozporządzenia Ministra Pracy i Polityki Socjalnej z dnia 7 sierpnia 2014 r. w sprawie klasyfikacji zawodów i specjalności na potrzeby rynku pracy oraz zakresu jej stosowania </w:t>
      </w:r>
      <w:r w:rsidR="00A77D70">
        <w:rPr>
          <w:rFonts w:cs="Times New Roman"/>
          <w:bCs/>
          <w:i/>
          <w:iCs/>
          <w:sz w:val="22"/>
          <w:szCs w:val="22"/>
          <w:lang w:eastAsia="zh-CN"/>
        </w:rPr>
        <w:t xml:space="preserve">(ze zm. – aktualny wykaz - </w:t>
      </w:r>
      <w:r w:rsidR="00A77D70" w:rsidRPr="00A77D70">
        <w:rPr>
          <w:rFonts w:cs="Times New Roman"/>
          <w:bCs/>
          <w:i/>
          <w:iCs/>
          <w:sz w:val="22"/>
          <w:szCs w:val="22"/>
          <w:lang w:eastAsia="zh-CN"/>
        </w:rPr>
        <w:t>Rozporządzenie Ministra Rodziny i Polityki Społecznej z dnia 13 listopada 2021 r. zmieniające rozporządzenie w sprawie klasyfikacji zawodów i specjalności na potrzeby rynku pracy oraz zakresu jej stosowania</w:t>
      </w:r>
      <w:r w:rsidR="00A77D70">
        <w:rPr>
          <w:rFonts w:cs="Times New Roman"/>
          <w:bCs/>
          <w:i/>
          <w:iCs/>
          <w:sz w:val="22"/>
          <w:szCs w:val="22"/>
          <w:lang w:eastAsia="zh-CN"/>
        </w:rPr>
        <w:t xml:space="preserve"> – Dz. U. 2021, poz. 2285</w:t>
      </w:r>
      <w:r w:rsidR="00295D3E" w:rsidRPr="00134A16">
        <w:rPr>
          <w:rFonts w:cs="Times New Roman"/>
          <w:bCs/>
          <w:i/>
          <w:iCs/>
          <w:sz w:val="22"/>
          <w:szCs w:val="22"/>
          <w:lang w:eastAsia="zh-CN"/>
        </w:rPr>
        <w:t>) oraz wskazać możliwości dalszego kształcenia</w:t>
      </w:r>
    </w:p>
    <w:p w14:paraId="5617ED12" w14:textId="00BD0C49" w:rsidR="00AA4E99" w:rsidRPr="00134A16" w:rsidRDefault="001A35AD" w:rsidP="00AA4E99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pacing w:before="360" w:after="120" w:line="276" w:lineRule="auto"/>
        <w:jc w:val="both"/>
        <w:textAlignment w:val="baseline"/>
        <w:rPr>
          <w:rFonts w:eastAsia="SimSun" w:cs="Times New Roman"/>
          <w:bCs/>
          <w:i/>
          <w:iCs/>
          <w:kern w:val="1"/>
          <w:sz w:val="22"/>
          <w:szCs w:val="22"/>
          <w:lang w:eastAsia="zh-CN" w:bidi="hi-IN"/>
        </w:rPr>
      </w:pPr>
      <w:r w:rsidRPr="00134A16">
        <w:rPr>
          <w:rFonts w:eastAsia="SimSun" w:cs="Times New Roman"/>
          <w:b/>
          <w:kern w:val="1"/>
          <w:sz w:val="22"/>
          <w:szCs w:val="22"/>
          <w:lang w:eastAsia="zh-CN" w:bidi="hi-IN"/>
        </w:rPr>
        <w:t>Wymagania wstępne</w:t>
      </w:r>
      <w:r w:rsidR="00295D3E" w:rsidRPr="00134A16">
        <w:rPr>
          <w:rFonts w:eastAsia="SimSun" w:cs="Times New Roman"/>
          <w:b/>
          <w:kern w:val="1"/>
          <w:sz w:val="22"/>
          <w:szCs w:val="22"/>
          <w:lang w:eastAsia="zh-CN" w:bidi="hi-IN"/>
        </w:rPr>
        <w:t>,</w:t>
      </w:r>
      <w:r w:rsidR="00905AC1" w:rsidRPr="00134A16">
        <w:rPr>
          <w:rFonts w:eastAsia="SimSun" w:cs="Times New Roman"/>
          <w:b/>
          <w:kern w:val="1"/>
          <w:sz w:val="22"/>
          <w:szCs w:val="22"/>
          <w:lang w:eastAsia="zh-CN" w:bidi="hi-IN"/>
        </w:rPr>
        <w:t xml:space="preserve"> oczekiwane kompetencje </w:t>
      </w:r>
      <w:r w:rsidR="00905AC1" w:rsidRPr="00FF6AD0">
        <w:rPr>
          <w:rFonts w:eastAsia="SimSun" w:cs="Times New Roman"/>
          <w:b/>
          <w:kern w:val="1"/>
          <w:sz w:val="22"/>
          <w:szCs w:val="22"/>
          <w:lang w:eastAsia="zh-CN" w:bidi="hi-IN"/>
        </w:rPr>
        <w:t>kandydata</w:t>
      </w:r>
      <w:r w:rsidR="00295D3E" w:rsidRPr="00FF6AD0">
        <w:rPr>
          <w:rFonts w:eastAsia="SimSun" w:cs="Times New Roman"/>
          <w:b/>
          <w:kern w:val="1"/>
          <w:sz w:val="22"/>
          <w:szCs w:val="22"/>
          <w:lang w:eastAsia="zh-CN" w:bidi="hi-IN"/>
        </w:rPr>
        <w:t xml:space="preserve"> </w:t>
      </w:r>
      <w:r w:rsidR="00FF6AD0" w:rsidRPr="00FF6AD0">
        <w:rPr>
          <w:rFonts w:eastAsia="SimSun" w:cs="Times New Roman"/>
          <w:b/>
          <w:kern w:val="1"/>
          <w:sz w:val="22"/>
          <w:szCs w:val="22"/>
          <w:lang w:eastAsia="zh-CN" w:bidi="hi-IN"/>
        </w:rPr>
        <w:t>opisane językiem efektów uczenia się</w:t>
      </w:r>
      <w:r w:rsidR="00FF6AD0" w:rsidRPr="00134A16">
        <w:rPr>
          <w:rFonts w:eastAsia="SimSun" w:cs="Times New Roman"/>
          <w:b/>
          <w:kern w:val="1"/>
          <w:sz w:val="22"/>
          <w:szCs w:val="22"/>
          <w:lang w:eastAsia="zh-CN" w:bidi="hi-IN"/>
        </w:rPr>
        <w:t xml:space="preserve"> </w:t>
      </w:r>
      <w:r w:rsidR="00295D3E" w:rsidRPr="00134A16">
        <w:rPr>
          <w:rFonts w:eastAsia="SimSun" w:cs="Times New Roman"/>
          <w:b/>
          <w:kern w:val="1"/>
          <w:sz w:val="22"/>
          <w:szCs w:val="22"/>
          <w:lang w:eastAsia="zh-CN" w:bidi="hi-IN"/>
        </w:rPr>
        <w:t xml:space="preserve">– </w:t>
      </w:r>
      <w:r w:rsidR="00295D3E" w:rsidRPr="00134A16">
        <w:rPr>
          <w:rFonts w:eastAsia="SimSun" w:cs="Times New Roman"/>
          <w:bCs/>
          <w:i/>
          <w:iCs/>
          <w:kern w:val="1"/>
          <w:sz w:val="22"/>
          <w:szCs w:val="22"/>
          <w:lang w:eastAsia="zh-CN" w:bidi="hi-IN"/>
        </w:rPr>
        <w:t xml:space="preserve">należy wskazać ogólnie wymagania wstępne oraz oczekiwane od kandydata kompetencje, bez wskazywania </w:t>
      </w:r>
      <w:r w:rsidR="00D52EA5">
        <w:rPr>
          <w:rFonts w:eastAsia="SimSun" w:cs="Times New Roman"/>
          <w:bCs/>
          <w:i/>
          <w:iCs/>
          <w:kern w:val="1"/>
          <w:sz w:val="22"/>
          <w:szCs w:val="22"/>
          <w:lang w:eastAsia="zh-CN" w:bidi="hi-IN"/>
        </w:rPr>
        <w:t>zasad przyjęć</w:t>
      </w:r>
      <w:r w:rsidR="00D52EA5" w:rsidRPr="00134A16">
        <w:rPr>
          <w:rFonts w:eastAsia="SimSun" w:cs="Times New Roman"/>
          <w:bCs/>
          <w:i/>
          <w:iCs/>
          <w:kern w:val="1"/>
          <w:sz w:val="22"/>
          <w:szCs w:val="22"/>
          <w:lang w:eastAsia="zh-CN" w:bidi="hi-IN"/>
        </w:rPr>
        <w:t xml:space="preserve"> </w:t>
      </w:r>
      <w:r w:rsidR="00295D3E" w:rsidRPr="00134A16">
        <w:rPr>
          <w:rFonts w:eastAsia="SimSun" w:cs="Times New Roman"/>
          <w:bCs/>
          <w:i/>
          <w:iCs/>
          <w:kern w:val="1"/>
          <w:sz w:val="22"/>
          <w:szCs w:val="22"/>
          <w:lang w:eastAsia="zh-CN" w:bidi="hi-IN"/>
        </w:rPr>
        <w:t>z uchwały rekrutacyjnej, gdyż mogą one ulegać corocznym zmianom</w:t>
      </w:r>
    </w:p>
    <w:p w14:paraId="4DC1192E" w14:textId="4633D933" w:rsidR="008C72F2" w:rsidRPr="00134A16" w:rsidRDefault="008C72F2" w:rsidP="0069118B">
      <w:pPr>
        <w:pStyle w:val="Akapitzlist"/>
        <w:numPr>
          <w:ilvl w:val="0"/>
          <w:numId w:val="3"/>
        </w:numP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  <w:r w:rsidRPr="00134A16">
        <w:rPr>
          <w:rFonts w:ascii="Times New Roman" w:hAnsi="Times New Roman" w:cs="Times New Roman"/>
          <w:b/>
        </w:rPr>
        <w:t xml:space="preserve">Dziedziny i dyscypliny naukowe, do których odnoszą się efekty uczenia się </w:t>
      </w:r>
      <w:r w:rsidR="0069118B" w:rsidRPr="00134A16">
        <w:rPr>
          <w:rFonts w:ascii="Times New Roman" w:hAnsi="Times New Roman" w:cs="Times New Roman"/>
          <w:b/>
        </w:rPr>
        <w:t>–</w:t>
      </w:r>
      <w:r w:rsidR="00295D3E" w:rsidRPr="00134A16">
        <w:rPr>
          <w:rFonts w:ascii="Times New Roman" w:hAnsi="Times New Roman" w:cs="Times New Roman"/>
          <w:b/>
        </w:rPr>
        <w:t xml:space="preserve"> </w:t>
      </w:r>
      <w:r w:rsidR="0069118B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należy </w:t>
      </w:r>
      <w:r w:rsidR="00295D3E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przyporządkow</w:t>
      </w:r>
      <w:r w:rsidR="0069118B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ać kierunek</w:t>
      </w:r>
      <w:r w:rsidR="00295D3E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do co najmniej jednej dyscypliny. W przypadku przyporządkowania do więcej niż jednej, wskazuje się dyscyplinę wiodącą</w:t>
      </w:r>
      <w:r w:rsidR="0069118B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. Wskazuje się udział procentowy każdej dyscypliny w zaokrągleniu do pełnych jedności. Wykaz dziedzin i dyscyplin znajduje się w rozporządzeniu MNiSW z dnia 20 września 2018 r. – klasyfikacja dziedzin nauki i dyscyplin naukowych oraz dyscyplin artystycznych (Dz.U.2018 poz. 1818)</w:t>
      </w:r>
      <w:r w:rsidR="00DF2C7A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; suma </w:t>
      </w:r>
      <w:r w:rsidR="00D95915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udziałów procentowych poszczególnych dyscyplin powinna wynosić 100%.</w:t>
      </w:r>
    </w:p>
    <w:p w14:paraId="0237B8DC" w14:textId="0D787250" w:rsidR="0069118B" w:rsidRPr="00134A16" w:rsidRDefault="0069118B" w:rsidP="00CA05CA">
      <w:pPr>
        <w:pStyle w:val="Akapitzlist"/>
        <w:numPr>
          <w:ilvl w:val="0"/>
          <w:numId w:val="3"/>
        </w:numPr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  <w:r w:rsidRPr="00134A16">
        <w:rPr>
          <w:rFonts w:ascii="Times New Roman" w:hAnsi="Times New Roman" w:cs="Times New Roman"/>
          <w:b/>
        </w:rPr>
        <w:lastRenderedPageBreak/>
        <w:t xml:space="preserve">Określenie kierunkowych efektów uczenia się dla danego typu kwalifikacji wraz z odniesieniem do składnika opisu charakterystyk pierwszego i drugiego stopnia PRK – </w:t>
      </w:r>
      <w:r w:rsidR="006509F6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przypisanie efektów uczenia się do charakterystyk pierwszego i drugiego stopnia PRK </w:t>
      </w:r>
      <w:r w:rsidR="00CA05CA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na podstawie Rozporządzenie MNiSW z dnia 14 listopada 2018 w sprawie charakterystyk drugiego stopnia efektów uczenia się dla kwalifikacji na poziomie 6-8 Polskiej Ramy kwalifikacji (Dz.U. 2018 poz. 2218) oraz Ustaw</w:t>
      </w:r>
      <w:r w:rsidR="00D95915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y</w:t>
      </w:r>
      <w:r w:rsidR="00CA05CA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z dnia 22 grudnia 2015 r. o Zintegrowanym Systemie Kwalifikacji (t. j. Dz. U. 2020, poz. </w:t>
      </w:r>
      <w:r w:rsidR="00011363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226)</w:t>
      </w:r>
      <w:r w:rsidR="0019761A"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.</w:t>
      </w:r>
    </w:p>
    <w:p w14:paraId="60C0C39C" w14:textId="60C62C25" w:rsidR="0019761A" w:rsidRPr="00134A16" w:rsidRDefault="0019761A" w:rsidP="0019761A">
      <w:pPr>
        <w:pStyle w:val="Akapitzlist"/>
        <w:ind w:left="0"/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  <w:r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Efekty uczenia się dla studiów kończących się uzyskaniem tytułu zawodowego </w:t>
      </w:r>
      <w:r w:rsidRPr="00134A16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inżyniera </w:t>
      </w:r>
      <w:r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lub magistra inżyniera zawierają również pełny zakres efektów dla studiów, umożliwiających uzyskanie kompetencji inżynierskich, zawartych w charakterystykach drugiego stopnia.</w:t>
      </w:r>
    </w:p>
    <w:p w14:paraId="42482E98" w14:textId="57EE096A" w:rsidR="0069118B" w:rsidRPr="00134A16" w:rsidRDefault="003022D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i/>
          <w:iCs/>
          <w:sz w:val="22"/>
          <w:szCs w:val="22"/>
          <w:lang w:eastAsia="pl-PL"/>
        </w:rPr>
      </w:pPr>
      <w:r w:rsidRPr="00134A16">
        <w:rPr>
          <w:rFonts w:cs="Times New Roman"/>
          <w:b/>
          <w:i/>
          <w:iCs/>
          <w:sz w:val="22"/>
          <w:szCs w:val="22"/>
          <w:lang w:eastAsia="pl-PL"/>
        </w:rPr>
        <w:t>Obowiązkowo wśród efektów uczenia się muszą znaleźć się:</w:t>
      </w:r>
    </w:p>
    <w:p w14:paraId="61EC13A1" w14:textId="5F804259" w:rsidR="003022D4" w:rsidRPr="00134A16" w:rsidRDefault="003022D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i/>
          <w:iCs/>
          <w:sz w:val="22"/>
          <w:szCs w:val="22"/>
          <w:lang w:eastAsia="pl-PL"/>
        </w:rPr>
      </w:pPr>
      <w:r w:rsidRPr="00134A16">
        <w:rPr>
          <w:rFonts w:cs="Times New Roman"/>
          <w:b/>
          <w:i/>
          <w:iCs/>
          <w:sz w:val="22"/>
          <w:szCs w:val="22"/>
          <w:lang w:eastAsia="pl-PL"/>
        </w:rPr>
        <w:t>- efekt uczenia się z zakresu własności intelektualnej i prawa autorskiego</w:t>
      </w:r>
    </w:p>
    <w:p w14:paraId="567E3350" w14:textId="2A86DACD" w:rsidR="003022D4" w:rsidRDefault="003022D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i/>
          <w:iCs/>
          <w:sz w:val="22"/>
          <w:szCs w:val="22"/>
          <w:lang w:eastAsia="pl-PL"/>
        </w:rPr>
      </w:pPr>
      <w:r w:rsidRPr="00134A16">
        <w:rPr>
          <w:rFonts w:cs="Times New Roman"/>
          <w:b/>
          <w:i/>
          <w:iCs/>
          <w:sz w:val="22"/>
          <w:szCs w:val="22"/>
          <w:lang w:eastAsia="pl-PL"/>
        </w:rPr>
        <w:t>- efekt uczenia się w zakresie znajomości języka obcego</w:t>
      </w:r>
      <w:r w:rsidR="000962C9">
        <w:rPr>
          <w:rFonts w:cs="Times New Roman"/>
          <w:b/>
          <w:i/>
          <w:iCs/>
          <w:sz w:val="22"/>
          <w:szCs w:val="22"/>
          <w:lang w:eastAsia="pl-PL"/>
        </w:rPr>
        <w:t xml:space="preserve"> na odpowiednim poziomie (</w:t>
      </w:r>
      <w:r w:rsidR="005625BF">
        <w:rPr>
          <w:rFonts w:cs="Times New Roman"/>
          <w:b/>
          <w:i/>
          <w:iCs/>
          <w:sz w:val="22"/>
          <w:szCs w:val="22"/>
          <w:lang w:eastAsia="pl-PL"/>
        </w:rPr>
        <w:t xml:space="preserve">co najmniej </w:t>
      </w:r>
      <w:r w:rsidR="000962C9">
        <w:rPr>
          <w:rFonts w:cs="Times New Roman"/>
          <w:b/>
          <w:i/>
          <w:iCs/>
          <w:sz w:val="22"/>
          <w:szCs w:val="22"/>
          <w:lang w:eastAsia="pl-PL"/>
        </w:rPr>
        <w:t xml:space="preserve">B2 </w:t>
      </w:r>
      <w:r w:rsidR="005625BF">
        <w:rPr>
          <w:rFonts w:cs="Times New Roman"/>
          <w:b/>
          <w:i/>
          <w:iCs/>
          <w:sz w:val="22"/>
          <w:szCs w:val="22"/>
          <w:lang w:eastAsia="pl-PL"/>
        </w:rPr>
        <w:t xml:space="preserve">– 6 poziom PRK; B2+ </w:t>
      </w:r>
      <w:r w:rsidR="001541E1">
        <w:rPr>
          <w:rFonts w:cs="Times New Roman"/>
          <w:b/>
          <w:i/>
          <w:iCs/>
          <w:sz w:val="22"/>
          <w:szCs w:val="22"/>
          <w:lang w:eastAsia="pl-PL"/>
        </w:rPr>
        <w:t xml:space="preserve">– </w:t>
      </w:r>
      <w:r w:rsidR="005625BF">
        <w:rPr>
          <w:rFonts w:cs="Times New Roman"/>
          <w:b/>
          <w:i/>
          <w:iCs/>
          <w:sz w:val="22"/>
          <w:szCs w:val="22"/>
          <w:lang w:eastAsia="pl-PL"/>
        </w:rPr>
        <w:t xml:space="preserve"> 7 poziom PRK) </w:t>
      </w:r>
      <w:r w:rsidRPr="00134A16">
        <w:rPr>
          <w:rFonts w:cs="Times New Roman"/>
          <w:b/>
          <w:i/>
          <w:iCs/>
          <w:sz w:val="22"/>
          <w:szCs w:val="22"/>
          <w:lang w:eastAsia="pl-PL"/>
        </w:rPr>
        <w:t xml:space="preserve">. </w:t>
      </w:r>
    </w:p>
    <w:p w14:paraId="5A722180" w14:textId="053C0198" w:rsidR="000D76A2" w:rsidRPr="00134A16" w:rsidRDefault="00DE2BA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i/>
          <w:iCs/>
          <w:sz w:val="22"/>
          <w:szCs w:val="22"/>
          <w:lang w:eastAsia="pl-PL"/>
        </w:rPr>
      </w:pPr>
      <w:r>
        <w:rPr>
          <w:rFonts w:cs="Times New Roman"/>
          <w:b/>
          <w:i/>
          <w:iCs/>
          <w:sz w:val="22"/>
          <w:szCs w:val="22"/>
          <w:lang w:eastAsia="pl-PL"/>
        </w:rPr>
        <w:t xml:space="preserve">Efekty uczenia się dla kierunków o tych samych nazwach </w:t>
      </w:r>
      <w:r w:rsidR="00513FCC">
        <w:rPr>
          <w:rFonts w:cs="Times New Roman"/>
          <w:b/>
          <w:i/>
          <w:iCs/>
          <w:sz w:val="22"/>
          <w:szCs w:val="22"/>
          <w:lang w:eastAsia="pl-PL"/>
        </w:rPr>
        <w:t xml:space="preserve">realizowanych na </w:t>
      </w:r>
      <w:r w:rsidR="00992645">
        <w:rPr>
          <w:rFonts w:cs="Times New Roman"/>
          <w:b/>
          <w:i/>
          <w:iCs/>
          <w:sz w:val="22"/>
          <w:szCs w:val="22"/>
          <w:lang w:eastAsia="pl-PL"/>
        </w:rPr>
        <w:t xml:space="preserve">dwóch poziomach PRK </w:t>
      </w:r>
      <w:r>
        <w:rPr>
          <w:rFonts w:cs="Times New Roman"/>
          <w:b/>
          <w:i/>
          <w:iCs/>
          <w:sz w:val="22"/>
          <w:szCs w:val="22"/>
          <w:lang w:eastAsia="pl-PL"/>
        </w:rPr>
        <w:t>6 i</w:t>
      </w:r>
      <w:r w:rsidR="00513FCC">
        <w:rPr>
          <w:rFonts w:cs="Times New Roman"/>
          <w:b/>
          <w:i/>
          <w:iCs/>
          <w:sz w:val="22"/>
          <w:szCs w:val="22"/>
          <w:lang w:eastAsia="pl-PL"/>
        </w:rPr>
        <w:t xml:space="preserve"> 7 powinny wyraźnie różnić się od siebi</w:t>
      </w:r>
      <w:r w:rsidR="00D17D5E">
        <w:rPr>
          <w:rFonts w:cs="Times New Roman"/>
          <w:b/>
          <w:i/>
          <w:iCs/>
          <w:sz w:val="22"/>
          <w:szCs w:val="22"/>
          <w:lang w:eastAsia="pl-PL"/>
        </w:rPr>
        <w:t>e</w:t>
      </w:r>
      <w:r w:rsidR="00513FCC">
        <w:rPr>
          <w:rFonts w:cs="Times New Roman"/>
          <w:b/>
          <w:i/>
          <w:iCs/>
          <w:sz w:val="22"/>
          <w:szCs w:val="22"/>
          <w:lang w:eastAsia="pl-PL"/>
        </w:rPr>
        <w:t>.</w:t>
      </w:r>
    </w:p>
    <w:p w14:paraId="79BDF3D5" w14:textId="5A891A97" w:rsidR="003022D4" w:rsidRPr="00134A16" w:rsidRDefault="003022D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sz w:val="22"/>
          <w:szCs w:val="22"/>
          <w:lang w:eastAsia="pl-PL"/>
        </w:rPr>
      </w:pPr>
    </w:p>
    <w:p w14:paraId="58CE0605" w14:textId="77777777" w:rsidR="003022D4" w:rsidRPr="00134A16" w:rsidRDefault="003022D4" w:rsidP="0069118B">
      <w:pP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sz w:val="22"/>
          <w:szCs w:val="22"/>
          <w:lang w:eastAsia="pl-PL"/>
        </w:rPr>
      </w:pPr>
    </w:p>
    <w:p w14:paraId="65581D68" w14:textId="1E2A55C4" w:rsidR="0069118B" w:rsidRPr="00134A16" w:rsidRDefault="0069118B" w:rsidP="0069118B">
      <w:pPr>
        <w:pStyle w:val="Akapitzlist"/>
        <w:ind w:left="0"/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  <w:r w:rsidRPr="00134A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Obowiązujący wzór opisu efektów uczenia się – stanowiący załącznik do uchwały nr 620 Senatu UŁ z dnia 18.11.2019 r. w sprawie wytycznych w zakresie tworzenia programu studiów w Uniwersytecie </w:t>
      </w:r>
      <w:r w:rsidRPr="00C509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Łódzkim</w:t>
      </w:r>
      <w:bookmarkStart w:id="0" w:name="_Hlk69721026"/>
      <w:r w:rsidR="00171089" w:rsidRPr="00C509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(ze zm.)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021"/>
        <w:gridCol w:w="3021"/>
      </w:tblGrid>
      <w:tr w:rsidR="0069118B" w:rsidRPr="00134A16" w14:paraId="6A89EA93" w14:textId="77777777" w:rsidTr="0069118B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A75" w14:textId="77777777" w:rsidR="0069118B" w:rsidRPr="00134A16" w:rsidRDefault="0069118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>Symbol efektu uczenia się opisującego program studiów*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DEA7" w14:textId="77777777" w:rsidR="0069118B" w:rsidRPr="00134A16" w:rsidRDefault="0069118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>Efekt uczenia się opisujący program studiów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96B1" w14:textId="77777777" w:rsidR="0069118B" w:rsidRPr="00134A16" w:rsidRDefault="0069118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>Odniesienie do składnika opisu charakterystyk pierwszego i drugiego stopnia PRK</w:t>
            </w:r>
          </w:p>
        </w:tc>
      </w:tr>
      <w:tr w:rsidR="0069118B" w:rsidRPr="00134A16" w14:paraId="379934FE" w14:textId="77777777" w:rsidTr="0069118B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F90748" w14:textId="77777777" w:rsidR="0069118B" w:rsidRPr="00134A16" w:rsidRDefault="0069118B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WIEDZA </w:t>
            </w:r>
            <w:r w:rsidRPr="00134A16">
              <w:rPr>
                <w:rFonts w:cs="Times New Roman"/>
                <w:i/>
                <w:sz w:val="22"/>
                <w:szCs w:val="22"/>
              </w:rPr>
              <w:t>(optymalnie: ok. 8–15 efektów)</w:t>
            </w:r>
          </w:p>
        </w:tc>
      </w:tr>
      <w:tr w:rsidR="0069118B" w:rsidRPr="00134A16" w14:paraId="24F6A399" w14:textId="77777777" w:rsidTr="0069118B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3F7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  <w:p w14:paraId="160ECD58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ECD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366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9118B" w:rsidRPr="00134A16" w14:paraId="7A6D82E9" w14:textId="77777777" w:rsidTr="0069118B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EEDBA8" w14:textId="77777777" w:rsidR="0069118B" w:rsidRPr="00134A16" w:rsidRDefault="0069118B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UMIEJĘTNOŚCI </w:t>
            </w:r>
            <w:r w:rsidRPr="00134A16">
              <w:rPr>
                <w:rFonts w:cs="Times New Roman"/>
                <w:i/>
                <w:sz w:val="22"/>
                <w:szCs w:val="22"/>
              </w:rPr>
              <w:t>(optymalnie: ok. 8–15 efektów)</w:t>
            </w:r>
          </w:p>
        </w:tc>
      </w:tr>
      <w:tr w:rsidR="0069118B" w:rsidRPr="00134A16" w14:paraId="21ADA954" w14:textId="77777777" w:rsidTr="0069118B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E67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  <w:p w14:paraId="0E4F35B4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D88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44B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9118B" w:rsidRPr="00134A16" w14:paraId="7695A70F" w14:textId="77777777" w:rsidTr="0069118B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E45CB51" w14:textId="77777777" w:rsidR="0069118B" w:rsidRPr="00134A16" w:rsidRDefault="0069118B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KOMPETENCJE SPOŁECZNE </w:t>
            </w:r>
            <w:r w:rsidRPr="00134A16">
              <w:rPr>
                <w:rFonts w:cs="Times New Roman"/>
                <w:i/>
                <w:sz w:val="22"/>
                <w:szCs w:val="22"/>
              </w:rPr>
              <w:t>(optymalnie: od 6 do max. 10 efektów)</w:t>
            </w:r>
          </w:p>
        </w:tc>
      </w:tr>
      <w:tr w:rsidR="0069118B" w:rsidRPr="00134A16" w14:paraId="50B589A3" w14:textId="77777777" w:rsidTr="0069118B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2F9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  <w:p w14:paraId="60488348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F6A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2AD" w14:textId="77777777" w:rsidR="0069118B" w:rsidRPr="00134A16" w:rsidRDefault="0069118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bookmarkEnd w:id="0"/>
    <w:p w14:paraId="5F6E168B" w14:textId="77777777" w:rsidR="0069118B" w:rsidRPr="00134A16" w:rsidRDefault="0069118B" w:rsidP="0069118B">
      <w:pPr>
        <w:spacing w:before="60" w:after="120" w:line="256" w:lineRule="auto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134A16">
        <w:rPr>
          <w:rFonts w:cs="Times New Roman"/>
          <w:b/>
          <w:sz w:val="22"/>
          <w:szCs w:val="22"/>
        </w:rPr>
        <w:t>* Symbol efektu uczenia się obejmuje 10 symboli:</w:t>
      </w:r>
    </w:p>
    <w:p w14:paraId="1D63B4A8" w14:textId="77777777" w:rsidR="0069118B" w:rsidRPr="00134A16" w:rsidRDefault="0069118B" w:rsidP="0069118B">
      <w:pPr>
        <w:numPr>
          <w:ilvl w:val="0"/>
          <w:numId w:val="41"/>
        </w:numPr>
        <w:suppressAutoHyphens w:val="0"/>
        <w:spacing w:after="200" w:line="256" w:lineRule="auto"/>
        <w:contextualSpacing/>
        <w:jc w:val="both"/>
        <w:rPr>
          <w:rFonts w:cs="Times New Roman"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>dwa pierwsze symbole – dwucyfrowy kod jednostki:</w:t>
      </w:r>
    </w:p>
    <w:p w14:paraId="15164290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01 – W. Filologiczny,</w:t>
      </w:r>
    </w:p>
    <w:p w14:paraId="12044444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02 – W. Filozoficzno-Historyczny,</w:t>
      </w:r>
    </w:p>
    <w:p w14:paraId="48BB8FC9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04 – W. Biologii i Ochrony Środowiska,</w:t>
      </w:r>
    </w:p>
    <w:p w14:paraId="5E87FCDE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05 – W. Prawa i Administracji,</w:t>
      </w:r>
    </w:p>
    <w:p w14:paraId="21FCAB3D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06 – W. Ekonomiczno-Socjologiczny,</w:t>
      </w:r>
    </w:p>
    <w:p w14:paraId="75420DC9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07 – W. Nauk o Wychowaniu,</w:t>
      </w:r>
    </w:p>
    <w:p w14:paraId="0217D4EE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08 – W. Zarządzania,</w:t>
      </w:r>
    </w:p>
    <w:p w14:paraId="67505A24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11 – W. Matematyki i Informatyki,</w:t>
      </w:r>
    </w:p>
    <w:p w14:paraId="109F1351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12 – Filia UŁ w Tomaszowie Mazowieckim,</w:t>
      </w:r>
    </w:p>
    <w:p w14:paraId="41B4B4B0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13 – W. Studiów Międzynarodowych i Politologicznych,</w:t>
      </w:r>
    </w:p>
    <w:p w14:paraId="4C84887F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14 – W. Nauk Geograficznych,</w:t>
      </w:r>
    </w:p>
    <w:p w14:paraId="137551B2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15 – W. Fizyki i Informatyki Stosowanej,</w:t>
      </w:r>
    </w:p>
    <w:p w14:paraId="16CBE02D" w14:textId="77777777" w:rsidR="0069118B" w:rsidRPr="00134A16" w:rsidRDefault="0069118B" w:rsidP="0069118B">
      <w:pPr>
        <w:tabs>
          <w:tab w:val="left" w:pos="993"/>
        </w:tabs>
        <w:ind w:left="180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>16 – W. Chemii;</w:t>
      </w:r>
    </w:p>
    <w:p w14:paraId="2663CEE7" w14:textId="77777777" w:rsidR="0069118B" w:rsidRPr="00134A16" w:rsidRDefault="0069118B" w:rsidP="0069118B">
      <w:pPr>
        <w:tabs>
          <w:tab w:val="left" w:pos="993"/>
        </w:tabs>
        <w:ind w:left="993"/>
        <w:jc w:val="both"/>
        <w:rPr>
          <w:rFonts w:cs="Times New Roman"/>
          <w:i/>
          <w:sz w:val="22"/>
          <w:szCs w:val="22"/>
        </w:rPr>
      </w:pPr>
    </w:p>
    <w:p w14:paraId="5E05425E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 xml:space="preserve">symbol trzeci – kod kierunku: </w:t>
      </w:r>
      <w:r w:rsidRPr="00134A16">
        <w:rPr>
          <w:rFonts w:cs="Times New Roman"/>
          <w:sz w:val="22"/>
          <w:szCs w:val="22"/>
        </w:rPr>
        <w:t>litera określona przez daną jednostkę;</w:t>
      </w:r>
    </w:p>
    <w:p w14:paraId="0ACFF0CF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b/>
          <w:sz w:val="22"/>
          <w:szCs w:val="22"/>
        </w:rPr>
      </w:pPr>
    </w:p>
    <w:p w14:paraId="6655F4D0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b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 xml:space="preserve">symbol czwarty – kod specjalności określony przez jednostkę: </w:t>
      </w:r>
      <w:r w:rsidRPr="00134A16">
        <w:rPr>
          <w:rFonts w:cs="Times New Roman"/>
          <w:sz w:val="22"/>
          <w:szCs w:val="22"/>
        </w:rPr>
        <w:t>jeżeli opisywane są kierunkowe efekty uczenia się, tzn. efekty kierowane są do wszystkich specjalności, wówczas czwartym symbolem jest myślnik;</w:t>
      </w:r>
    </w:p>
    <w:p w14:paraId="0A9DB193" w14:textId="77777777" w:rsidR="0069118B" w:rsidRPr="00134A16" w:rsidRDefault="0069118B" w:rsidP="0069118B">
      <w:pPr>
        <w:tabs>
          <w:tab w:val="left" w:pos="993"/>
        </w:tabs>
        <w:jc w:val="both"/>
        <w:rPr>
          <w:rFonts w:cs="Times New Roman"/>
          <w:b/>
          <w:sz w:val="22"/>
          <w:szCs w:val="22"/>
        </w:rPr>
      </w:pPr>
    </w:p>
    <w:p w14:paraId="5EB1F7FE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b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>symbol piąty – kod poziomu studiów:</w:t>
      </w:r>
    </w:p>
    <w:p w14:paraId="6C83AFD3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1 – I stopień,</w:t>
      </w:r>
    </w:p>
    <w:p w14:paraId="12FD28B7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2 – II stopień,</w:t>
      </w:r>
    </w:p>
    <w:p w14:paraId="150FC016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0 – studia jednolite;</w:t>
      </w:r>
    </w:p>
    <w:p w14:paraId="1848CA09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</w:p>
    <w:p w14:paraId="3B7B7E08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b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>symbol szósty – kod profilu studiów:</w:t>
      </w:r>
    </w:p>
    <w:p w14:paraId="0B9ECCAE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A – ogólnoakademicki,</w:t>
      </w:r>
    </w:p>
    <w:p w14:paraId="661EE588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P – praktyczny;</w:t>
      </w:r>
    </w:p>
    <w:p w14:paraId="4A5886B2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sz w:val="22"/>
          <w:szCs w:val="22"/>
        </w:rPr>
      </w:pPr>
    </w:p>
    <w:p w14:paraId="413430E8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b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>symbol siódmy – podkreślenie _;</w:t>
      </w:r>
    </w:p>
    <w:p w14:paraId="0A4510BF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b/>
          <w:sz w:val="22"/>
          <w:szCs w:val="22"/>
        </w:rPr>
      </w:pPr>
    </w:p>
    <w:p w14:paraId="16A02869" w14:textId="77777777" w:rsidR="0069118B" w:rsidRPr="00134A16" w:rsidRDefault="0069118B" w:rsidP="0069118B">
      <w:pPr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cs="Times New Roman"/>
          <w:b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>symbol ósmy – kod kategorii efektu uczenia się:</w:t>
      </w:r>
    </w:p>
    <w:p w14:paraId="193B0064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W – wiedza,</w:t>
      </w:r>
    </w:p>
    <w:p w14:paraId="078AB14E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U – umiejętności,</w:t>
      </w:r>
    </w:p>
    <w:p w14:paraId="6EC0C0EB" w14:textId="77777777" w:rsidR="0069118B" w:rsidRPr="00134A16" w:rsidRDefault="0069118B" w:rsidP="0069118B">
      <w:pPr>
        <w:tabs>
          <w:tab w:val="left" w:pos="993"/>
        </w:tabs>
        <w:ind w:left="720"/>
        <w:jc w:val="both"/>
        <w:rPr>
          <w:rFonts w:cs="Times New Roman"/>
          <w:b/>
          <w:i/>
          <w:sz w:val="22"/>
          <w:szCs w:val="22"/>
        </w:rPr>
      </w:pPr>
      <w:r w:rsidRPr="00134A16">
        <w:rPr>
          <w:rFonts w:cs="Times New Roman"/>
          <w:i/>
          <w:sz w:val="22"/>
          <w:szCs w:val="22"/>
        </w:rPr>
        <w:tab/>
      </w:r>
      <w:r w:rsidRPr="00134A16">
        <w:rPr>
          <w:rFonts w:cs="Times New Roman"/>
          <w:i/>
          <w:sz w:val="22"/>
          <w:szCs w:val="22"/>
        </w:rPr>
        <w:tab/>
        <w:t>K – kompetencje społeczne;</w:t>
      </w:r>
    </w:p>
    <w:p w14:paraId="73B5F16D" w14:textId="77777777" w:rsidR="0069118B" w:rsidRPr="00134A16" w:rsidRDefault="0069118B" w:rsidP="0069118B">
      <w:pPr>
        <w:tabs>
          <w:tab w:val="left" w:pos="993"/>
        </w:tabs>
        <w:jc w:val="both"/>
        <w:rPr>
          <w:rFonts w:cs="Times New Roman"/>
          <w:b/>
          <w:sz w:val="22"/>
          <w:szCs w:val="22"/>
        </w:rPr>
      </w:pPr>
    </w:p>
    <w:p w14:paraId="422F72FC" w14:textId="65AFA7E9" w:rsidR="0069118B" w:rsidRPr="00134A16" w:rsidRDefault="0069118B" w:rsidP="00BE141A">
      <w:pPr>
        <w:pStyle w:val="Akapitzlis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</w:rPr>
      </w:pPr>
      <w:r w:rsidRPr="00134A16">
        <w:rPr>
          <w:rFonts w:ascii="Times New Roman" w:hAnsi="Times New Roman" w:cs="Times New Roman"/>
          <w:b/>
        </w:rPr>
        <w:t>symbol dziewiąty i dziesiąty – dwucyfrowy numer efektu uczenia się.</w:t>
      </w:r>
    </w:p>
    <w:p w14:paraId="039EF370" w14:textId="5E64E768" w:rsidR="00487BD2" w:rsidRDefault="00487BD2" w:rsidP="00396927">
      <w:pPr>
        <w:tabs>
          <w:tab w:val="left" w:pos="426"/>
        </w:tabs>
        <w:spacing w:before="360" w:after="120" w:line="276" w:lineRule="auto"/>
        <w:ind w:left="0"/>
        <w:jc w:val="both"/>
        <w:rPr>
          <w:rFonts w:cs="Times New Roman"/>
        </w:rPr>
      </w:pPr>
      <w:r w:rsidRPr="00396927">
        <w:rPr>
          <w:rFonts w:cs="Times New Roman"/>
          <w:b/>
          <w:bCs/>
          <w:sz w:val="22"/>
          <w:szCs w:val="22"/>
          <w:lang w:eastAsia="zh-CN"/>
        </w:rPr>
        <w:t>11a</w:t>
      </w:r>
      <w:r w:rsidR="00F14686">
        <w:rPr>
          <w:rFonts w:cs="Times New Roman"/>
          <w:b/>
          <w:bCs/>
          <w:sz w:val="22"/>
          <w:szCs w:val="22"/>
          <w:lang w:eastAsia="zh-CN"/>
        </w:rPr>
        <w:t>.</w:t>
      </w:r>
      <w:r w:rsidRPr="00396927">
        <w:rPr>
          <w:rFonts w:cs="Times New Roman"/>
          <w:b/>
          <w:bCs/>
          <w:sz w:val="22"/>
          <w:szCs w:val="22"/>
          <w:lang w:eastAsia="zh-CN"/>
        </w:rPr>
        <w:t xml:space="preserve">  </w:t>
      </w:r>
      <w:r w:rsidR="00396927" w:rsidRPr="00396927">
        <w:rPr>
          <w:rFonts w:cs="Times New Roman"/>
          <w:i/>
          <w:iCs/>
          <w:sz w:val="22"/>
          <w:szCs w:val="22"/>
          <w:lang w:eastAsia="zh-CN"/>
        </w:rPr>
        <w:t>(</w:t>
      </w:r>
      <w:r w:rsidRPr="00396927">
        <w:rPr>
          <w:rFonts w:cs="Times New Roman"/>
          <w:i/>
          <w:iCs/>
        </w:rPr>
        <w:t>opcjonalnie</w:t>
      </w:r>
      <w:r w:rsidR="00396927" w:rsidRPr="00396927">
        <w:rPr>
          <w:rFonts w:cs="Times New Roman"/>
          <w:i/>
          <w:iCs/>
        </w:rPr>
        <w:t>)</w:t>
      </w:r>
      <w:r w:rsidR="00396927">
        <w:rPr>
          <w:rFonts w:cs="Times New Roman"/>
          <w:b/>
          <w:bCs/>
        </w:rPr>
        <w:t xml:space="preserve"> </w:t>
      </w:r>
      <w:r w:rsidRPr="00396927">
        <w:rPr>
          <w:rFonts w:cs="Times New Roman"/>
          <w:b/>
          <w:bCs/>
        </w:rPr>
        <w:t>efekty uczenia się dla specjalności realizowanych na kierunku</w:t>
      </w:r>
      <w:r w:rsidR="00491A69">
        <w:rPr>
          <w:rFonts w:cs="Times New Roman"/>
        </w:rPr>
        <w:t xml:space="preserve"> </w:t>
      </w:r>
      <w:r w:rsidR="006164D4">
        <w:rPr>
          <w:rFonts w:cs="Times New Roman"/>
        </w:rPr>
        <w:t xml:space="preserve">– </w:t>
      </w:r>
      <w:r w:rsidR="00491A69" w:rsidRPr="00396927">
        <w:rPr>
          <w:rFonts w:cs="Times New Roman"/>
          <w:i/>
          <w:iCs/>
        </w:rPr>
        <w:t>dla każdej specjalności osobno</w:t>
      </w:r>
      <w:r w:rsidR="00396927">
        <w:rPr>
          <w:rFonts w:cs="Times New Roman"/>
          <w:i/>
          <w:iCs/>
        </w:rPr>
        <w:t xml:space="preserve">; </w:t>
      </w:r>
      <w:r w:rsidR="00E3425E" w:rsidRPr="00396927">
        <w:rPr>
          <w:rFonts w:cs="Times New Roman"/>
          <w:i/>
          <w:iCs/>
        </w:rPr>
        <w:t xml:space="preserve">w ramach specjalności </w:t>
      </w:r>
      <w:r w:rsidR="00C672E6" w:rsidRPr="00396927">
        <w:rPr>
          <w:rFonts w:cs="Times New Roman"/>
          <w:i/>
          <w:iCs/>
        </w:rPr>
        <w:t>możliwe ujęcie 3</w:t>
      </w:r>
      <w:r w:rsidR="00396927">
        <w:rPr>
          <w:rFonts w:cs="Times New Roman"/>
          <w:i/>
          <w:iCs/>
        </w:rPr>
        <w:t xml:space="preserve"> zakresów</w:t>
      </w:r>
      <w:r w:rsidR="00E66BF0" w:rsidRPr="00396927">
        <w:rPr>
          <w:rFonts w:cs="Times New Roman"/>
          <w:i/>
          <w:iCs/>
        </w:rPr>
        <w:t xml:space="preserve"> (wiedza, umiejętności, kompetencje społeczne)</w:t>
      </w:r>
      <w:r w:rsidR="00C672E6" w:rsidRPr="00396927">
        <w:rPr>
          <w:rFonts w:cs="Times New Roman"/>
          <w:i/>
          <w:iCs/>
        </w:rPr>
        <w:t>, 2 lub tylko 1</w:t>
      </w:r>
      <w:r>
        <w:rPr>
          <w:rFonts w:cs="Times New Roman"/>
        </w:rPr>
        <w:t>:</w:t>
      </w:r>
    </w:p>
    <w:p w14:paraId="461E83E8" w14:textId="77777777" w:rsidR="00487BD2" w:rsidRPr="00134A16" w:rsidRDefault="00487BD2" w:rsidP="00487BD2">
      <w:pPr>
        <w:pStyle w:val="Akapitzlist"/>
        <w:ind w:left="0"/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021"/>
        <w:gridCol w:w="3021"/>
      </w:tblGrid>
      <w:tr w:rsidR="00487BD2" w:rsidRPr="00134A16" w14:paraId="0345A0E6" w14:textId="77777777" w:rsidTr="00575532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24F" w14:textId="4418F14D" w:rsidR="00487BD2" w:rsidRPr="00134A16" w:rsidRDefault="00487BD2" w:rsidP="005755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Symbol efektu uczenia się </w:t>
            </w:r>
            <w:r w:rsidR="0069037C">
              <w:rPr>
                <w:rFonts w:cs="Times New Roman"/>
                <w:b/>
                <w:sz w:val="22"/>
                <w:szCs w:val="22"/>
              </w:rPr>
              <w:t>specjalności</w:t>
            </w:r>
            <w:r w:rsidR="00DD484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34A16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A12C" w14:textId="21BE8839" w:rsidR="00487BD2" w:rsidRPr="00134A16" w:rsidRDefault="00487BD2" w:rsidP="005755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Efekt uczenia się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F1F8" w14:textId="06BB1467" w:rsidR="00487BD2" w:rsidRPr="00134A16" w:rsidRDefault="00487BD2" w:rsidP="005755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Odniesienie do </w:t>
            </w:r>
            <w:r w:rsidR="00DD4844">
              <w:rPr>
                <w:rFonts w:cs="Times New Roman"/>
                <w:b/>
                <w:sz w:val="22"/>
                <w:szCs w:val="22"/>
              </w:rPr>
              <w:t xml:space="preserve">symbolu </w:t>
            </w:r>
            <w:r w:rsidR="00DC375E">
              <w:rPr>
                <w:rFonts w:cs="Times New Roman"/>
                <w:b/>
                <w:sz w:val="22"/>
                <w:szCs w:val="22"/>
              </w:rPr>
              <w:t>odpowiedniego kierunkowego efektu uczenia się</w:t>
            </w:r>
          </w:p>
        </w:tc>
      </w:tr>
      <w:tr w:rsidR="00487BD2" w:rsidRPr="00134A16" w14:paraId="515AE63D" w14:textId="77777777" w:rsidTr="00575532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3A36F4" w14:textId="39F72A70" w:rsidR="00487BD2" w:rsidRPr="00134A16" w:rsidRDefault="00487BD2" w:rsidP="00575532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WIEDZA </w:t>
            </w:r>
          </w:p>
        </w:tc>
      </w:tr>
      <w:tr w:rsidR="00487BD2" w:rsidRPr="00134A16" w14:paraId="3BCBF8EA" w14:textId="77777777" w:rsidTr="00575532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A76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  <w:p w14:paraId="4E1574B6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DC6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EBC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7BD2" w:rsidRPr="00134A16" w14:paraId="296C920F" w14:textId="77777777" w:rsidTr="00575532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1901F3" w14:textId="3C763507" w:rsidR="00487BD2" w:rsidRPr="00134A16" w:rsidRDefault="00487BD2" w:rsidP="00575532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UMIEJĘTNOŚCI </w:t>
            </w:r>
          </w:p>
        </w:tc>
      </w:tr>
      <w:tr w:rsidR="00487BD2" w:rsidRPr="00134A16" w14:paraId="45589D95" w14:textId="77777777" w:rsidTr="00575532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91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  <w:p w14:paraId="452B0F68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86F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105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7BD2" w:rsidRPr="00134A16" w14:paraId="3345C132" w14:textId="77777777" w:rsidTr="00575532">
        <w:trPr>
          <w:jc w:val="center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3A24534" w14:textId="01725B9C" w:rsidR="00487BD2" w:rsidRPr="00134A16" w:rsidRDefault="00487BD2" w:rsidP="00575532">
            <w:pPr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 xml:space="preserve">KOMPETENCJE SPOŁECZNE </w:t>
            </w:r>
          </w:p>
        </w:tc>
      </w:tr>
      <w:tr w:rsidR="00487BD2" w:rsidRPr="00134A16" w14:paraId="4B9283D0" w14:textId="77777777" w:rsidTr="00575532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4D2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  <w:p w14:paraId="345594F8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F46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0D3" w14:textId="77777777" w:rsidR="00487BD2" w:rsidRPr="00134A16" w:rsidRDefault="00487BD2" w:rsidP="0057553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6359CAC" w14:textId="309A8E24" w:rsidR="00F34004" w:rsidRPr="00134A16" w:rsidRDefault="000B0571" w:rsidP="00F35044">
      <w:pPr>
        <w:numPr>
          <w:ilvl w:val="0"/>
          <w:numId w:val="3"/>
        </w:numPr>
        <w:tabs>
          <w:tab w:val="left" w:pos="426"/>
        </w:tabs>
        <w:spacing w:before="360" w:after="120" w:line="276" w:lineRule="auto"/>
        <w:ind w:left="426" w:hanging="426"/>
        <w:jc w:val="both"/>
        <w:rPr>
          <w:rFonts w:cs="Times New Roman"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>Wnioski z analizy zgodności efektów uczenia się z potrzebami rynku pracy</w:t>
      </w:r>
      <w:r w:rsidR="00BE141A" w:rsidRPr="00134A16">
        <w:rPr>
          <w:rFonts w:cs="Times New Roman"/>
          <w:b/>
          <w:sz w:val="22"/>
          <w:szCs w:val="22"/>
          <w:lang w:eastAsia="zh-CN"/>
        </w:rPr>
        <w:t xml:space="preserve"> i otoczenia społecznego,</w:t>
      </w:r>
      <w:r w:rsidRPr="00134A16">
        <w:rPr>
          <w:rFonts w:cs="Times New Roman"/>
          <w:b/>
          <w:sz w:val="22"/>
          <w:szCs w:val="22"/>
          <w:lang w:eastAsia="zh-CN"/>
        </w:rPr>
        <w:t xml:space="preserve"> wnioski z</w:t>
      </w:r>
      <w:r w:rsidR="00DD29C5" w:rsidRPr="00134A16">
        <w:rPr>
          <w:rFonts w:cs="Times New Roman"/>
          <w:b/>
          <w:sz w:val="22"/>
          <w:szCs w:val="22"/>
          <w:lang w:eastAsia="zh-CN"/>
        </w:rPr>
        <w:t> </w:t>
      </w:r>
      <w:r w:rsidRPr="00134A16">
        <w:rPr>
          <w:rFonts w:cs="Times New Roman"/>
          <w:b/>
          <w:sz w:val="22"/>
          <w:szCs w:val="22"/>
          <w:lang w:eastAsia="zh-CN"/>
        </w:rPr>
        <w:t>analizy wyników monitoringu karier zawodowych absolwentów</w:t>
      </w:r>
      <w:r w:rsidR="00BE141A" w:rsidRPr="00134A16">
        <w:rPr>
          <w:rFonts w:cs="Times New Roman"/>
          <w:b/>
          <w:sz w:val="22"/>
          <w:szCs w:val="22"/>
          <w:lang w:eastAsia="zh-CN"/>
        </w:rPr>
        <w:t xml:space="preserve"> oraz sprawdzone wzorce międzynarodowe</w:t>
      </w:r>
      <w:r w:rsidR="003022D4" w:rsidRPr="00134A16">
        <w:rPr>
          <w:rFonts w:cs="Times New Roman"/>
          <w:b/>
          <w:sz w:val="22"/>
          <w:szCs w:val="22"/>
          <w:lang w:eastAsia="zh-CN"/>
        </w:rPr>
        <w:t xml:space="preserve"> – </w:t>
      </w:r>
      <w:r w:rsidR="003022D4" w:rsidRPr="00134A16">
        <w:rPr>
          <w:rFonts w:cs="Times New Roman"/>
          <w:bCs/>
          <w:i/>
          <w:iCs/>
          <w:sz w:val="22"/>
          <w:szCs w:val="22"/>
          <w:lang w:eastAsia="zh-CN"/>
        </w:rPr>
        <w:t>krótko opisać wyniki analiz</w:t>
      </w:r>
      <w:r w:rsidR="00E66BF0">
        <w:rPr>
          <w:rFonts w:cs="Times New Roman"/>
          <w:bCs/>
          <w:i/>
          <w:iCs/>
          <w:sz w:val="22"/>
          <w:szCs w:val="22"/>
          <w:lang w:eastAsia="zh-CN"/>
        </w:rPr>
        <w:t>, wskazać zapot</w:t>
      </w:r>
      <w:r w:rsidR="003D5BFD">
        <w:rPr>
          <w:rFonts w:cs="Times New Roman"/>
          <w:bCs/>
          <w:i/>
          <w:iCs/>
          <w:sz w:val="22"/>
          <w:szCs w:val="22"/>
          <w:lang w:eastAsia="zh-CN"/>
        </w:rPr>
        <w:t>rz</w:t>
      </w:r>
      <w:r w:rsidR="00E66BF0">
        <w:rPr>
          <w:rFonts w:cs="Times New Roman"/>
          <w:bCs/>
          <w:i/>
          <w:iCs/>
          <w:sz w:val="22"/>
          <w:szCs w:val="22"/>
          <w:lang w:eastAsia="zh-CN"/>
        </w:rPr>
        <w:t xml:space="preserve">ebowanie </w:t>
      </w:r>
      <w:r w:rsidR="007E0D9E">
        <w:rPr>
          <w:rFonts w:cs="Times New Roman"/>
          <w:bCs/>
          <w:i/>
          <w:iCs/>
          <w:sz w:val="22"/>
          <w:szCs w:val="22"/>
          <w:lang w:eastAsia="zh-CN"/>
        </w:rPr>
        <w:t>na taki kierunek</w:t>
      </w:r>
      <w:r w:rsidR="00804174">
        <w:rPr>
          <w:rFonts w:cs="Times New Roman"/>
          <w:bCs/>
          <w:i/>
          <w:iCs/>
          <w:sz w:val="22"/>
          <w:szCs w:val="22"/>
          <w:lang w:eastAsia="zh-CN"/>
        </w:rPr>
        <w:t xml:space="preserve">, </w:t>
      </w:r>
      <w:r w:rsidR="007E0D9E">
        <w:rPr>
          <w:rFonts w:cs="Times New Roman"/>
          <w:bCs/>
          <w:i/>
          <w:iCs/>
          <w:sz w:val="22"/>
          <w:szCs w:val="22"/>
          <w:lang w:eastAsia="zh-CN"/>
        </w:rPr>
        <w:t>uzyskiwane kwalifikacje</w:t>
      </w:r>
      <w:r w:rsidR="00F44696">
        <w:rPr>
          <w:rFonts w:cs="Times New Roman"/>
          <w:bCs/>
          <w:i/>
          <w:iCs/>
          <w:sz w:val="22"/>
          <w:szCs w:val="22"/>
          <w:lang w:eastAsia="zh-CN"/>
        </w:rPr>
        <w:t xml:space="preserve">, </w:t>
      </w:r>
      <w:r w:rsidR="00804174">
        <w:rPr>
          <w:rFonts w:cs="Times New Roman"/>
          <w:bCs/>
          <w:i/>
          <w:iCs/>
          <w:sz w:val="22"/>
          <w:szCs w:val="22"/>
          <w:lang w:eastAsia="zh-CN"/>
        </w:rPr>
        <w:t>udział pracodawców w tworzeniu/zmianach/realizacji programu</w:t>
      </w:r>
      <w:r w:rsidR="008C20C7">
        <w:rPr>
          <w:rFonts w:cs="Times New Roman"/>
          <w:bCs/>
          <w:i/>
          <w:iCs/>
          <w:sz w:val="22"/>
          <w:szCs w:val="22"/>
          <w:lang w:eastAsia="zh-CN"/>
        </w:rPr>
        <w:t>.</w:t>
      </w:r>
      <w:r w:rsidR="00AE7800">
        <w:rPr>
          <w:rFonts w:cs="Times New Roman"/>
          <w:bCs/>
          <w:i/>
          <w:iCs/>
          <w:sz w:val="22"/>
          <w:szCs w:val="22"/>
          <w:lang w:eastAsia="zh-CN"/>
        </w:rPr>
        <w:t xml:space="preserve"> </w:t>
      </w:r>
    </w:p>
    <w:p w14:paraId="5B9F5FF2" w14:textId="49EE1B48" w:rsidR="001A35AD" w:rsidRPr="00134A16" w:rsidRDefault="000B0571" w:rsidP="008253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i/>
          <w:iCs/>
          <w:lang w:eastAsia="zh-CN"/>
        </w:rPr>
      </w:pPr>
      <w:r w:rsidRPr="00134A16">
        <w:rPr>
          <w:rFonts w:ascii="Times New Roman" w:hAnsi="Times New Roman" w:cs="Times New Roman"/>
          <w:lang w:eastAsia="zh-CN"/>
        </w:rPr>
        <w:lastRenderedPageBreak/>
        <w:tab/>
      </w:r>
      <w:r w:rsidR="001A35AD" w:rsidRPr="00134A16">
        <w:rPr>
          <w:rFonts w:ascii="Times New Roman" w:hAnsi="Times New Roman" w:cs="Times New Roman"/>
          <w:b/>
          <w:lang w:eastAsia="zh-CN"/>
        </w:rPr>
        <w:t>Związki z misją uczelni i jej strategią rozwoju</w:t>
      </w:r>
      <w:r w:rsidR="00BE141A" w:rsidRPr="00134A16">
        <w:rPr>
          <w:rFonts w:ascii="Times New Roman" w:hAnsi="Times New Roman" w:cs="Times New Roman"/>
          <w:b/>
          <w:lang w:eastAsia="zh-CN"/>
        </w:rPr>
        <w:t xml:space="preserve"> </w:t>
      </w:r>
      <w:r w:rsidR="003022D4" w:rsidRPr="00134A16">
        <w:rPr>
          <w:rFonts w:ascii="Times New Roman" w:hAnsi="Times New Roman" w:cs="Times New Roman"/>
          <w:b/>
          <w:lang w:eastAsia="zh-CN"/>
        </w:rPr>
        <w:t>–</w:t>
      </w:r>
      <w:r w:rsidR="00BE141A" w:rsidRPr="00134A16">
        <w:rPr>
          <w:rFonts w:ascii="Times New Roman" w:hAnsi="Times New Roman" w:cs="Times New Roman"/>
          <w:b/>
          <w:lang w:eastAsia="zh-CN"/>
        </w:rPr>
        <w:t xml:space="preserve"> </w:t>
      </w:r>
      <w:r w:rsidR="003022D4" w:rsidRPr="00134A16">
        <w:rPr>
          <w:rFonts w:ascii="Times New Roman" w:hAnsi="Times New Roman" w:cs="Times New Roman"/>
          <w:bCs/>
          <w:i/>
          <w:iCs/>
          <w:lang w:eastAsia="zh-CN"/>
        </w:rPr>
        <w:t xml:space="preserve">opis misji i strategii UŁ znajduje się </w:t>
      </w:r>
      <w:r w:rsidR="00825339" w:rsidRPr="00134A16">
        <w:rPr>
          <w:rFonts w:ascii="Times New Roman" w:hAnsi="Times New Roman" w:cs="Times New Roman"/>
          <w:bCs/>
          <w:i/>
          <w:iCs/>
          <w:lang w:eastAsia="zh-CN"/>
        </w:rPr>
        <w:t xml:space="preserve">w </w:t>
      </w:r>
      <w:r w:rsidR="00171089" w:rsidRPr="00C50916">
        <w:rPr>
          <w:rFonts w:ascii="Times New Roman" w:hAnsi="Times New Roman" w:cs="Times New Roman"/>
          <w:bCs/>
          <w:i/>
          <w:iCs/>
          <w:lang w:eastAsia="zh-CN"/>
        </w:rPr>
        <w:t>Uchwale nr 195 Senatu UŁ z dnia 18 czerwca 2021 r. w sprawie uchwalenia Strategii Uniwersytetu Łódzkiego na lata 2021-2030</w:t>
      </w:r>
    </w:p>
    <w:p w14:paraId="5E1FCB4D" w14:textId="29E005CE" w:rsidR="001A35AD" w:rsidRPr="00134A16" w:rsidRDefault="001A35AD" w:rsidP="009778B8">
      <w:pPr>
        <w:numPr>
          <w:ilvl w:val="0"/>
          <w:numId w:val="3"/>
        </w:numPr>
        <w:tabs>
          <w:tab w:val="left" w:pos="426"/>
        </w:tabs>
        <w:spacing w:before="360" w:after="120" w:line="276" w:lineRule="auto"/>
        <w:ind w:left="426" w:hanging="426"/>
        <w:jc w:val="both"/>
        <w:rPr>
          <w:rFonts w:cs="Times New Roman"/>
          <w:bCs/>
          <w:i/>
          <w:iCs/>
          <w:color w:val="FF0000"/>
          <w:sz w:val="22"/>
          <w:szCs w:val="22"/>
          <w:lang w:eastAsia="zh-CN"/>
        </w:rPr>
      </w:pPr>
      <w:r w:rsidRPr="00134A16">
        <w:rPr>
          <w:rFonts w:cs="Times New Roman"/>
          <w:b/>
          <w:sz w:val="22"/>
          <w:szCs w:val="22"/>
          <w:lang w:eastAsia="zh-CN"/>
        </w:rPr>
        <w:t>Różnice w stosunku do innych programów</w:t>
      </w:r>
      <w:r w:rsidR="00825339" w:rsidRPr="00134A16">
        <w:rPr>
          <w:rFonts w:cs="Times New Roman"/>
          <w:b/>
          <w:sz w:val="22"/>
          <w:szCs w:val="22"/>
          <w:lang w:eastAsia="zh-CN"/>
        </w:rPr>
        <w:t xml:space="preserve"> studiów</w:t>
      </w:r>
      <w:r w:rsidRPr="00134A16">
        <w:rPr>
          <w:rFonts w:cs="Times New Roman"/>
          <w:b/>
          <w:sz w:val="22"/>
          <w:szCs w:val="22"/>
          <w:lang w:eastAsia="zh-CN"/>
        </w:rPr>
        <w:t xml:space="preserve"> o podobnie zdefiniowanych celach i efektach </w:t>
      </w:r>
      <w:r w:rsidR="008A65C0" w:rsidRPr="00134A16">
        <w:rPr>
          <w:rFonts w:cs="Times New Roman"/>
          <w:b/>
          <w:sz w:val="22"/>
          <w:szCs w:val="22"/>
          <w:lang w:eastAsia="zh-CN"/>
        </w:rPr>
        <w:t>uczenia się</w:t>
      </w:r>
      <w:r w:rsidRPr="00134A16">
        <w:rPr>
          <w:rFonts w:cs="Times New Roman"/>
          <w:b/>
          <w:sz w:val="22"/>
          <w:szCs w:val="22"/>
          <w:lang w:eastAsia="zh-CN"/>
        </w:rPr>
        <w:t xml:space="preserve"> prowadzonych </w:t>
      </w:r>
      <w:r w:rsidR="00825339" w:rsidRPr="00134A16">
        <w:rPr>
          <w:rFonts w:cs="Times New Roman"/>
          <w:b/>
          <w:sz w:val="22"/>
          <w:szCs w:val="22"/>
          <w:lang w:eastAsia="zh-CN"/>
        </w:rPr>
        <w:t xml:space="preserve">w Uniwersytecie Łódzkim – </w:t>
      </w:r>
      <w:r w:rsidR="00825339" w:rsidRPr="00134A16">
        <w:rPr>
          <w:rFonts w:cs="Times New Roman"/>
          <w:bCs/>
          <w:i/>
          <w:iCs/>
          <w:sz w:val="22"/>
          <w:szCs w:val="22"/>
          <w:lang w:eastAsia="zh-CN"/>
        </w:rPr>
        <w:t>przeprowadzenie weryfikacji i analizy kierunków studiów o podobnym lub zbliżonym programie</w:t>
      </w:r>
      <w:r w:rsidR="008C20C7">
        <w:rPr>
          <w:rFonts w:cs="Times New Roman"/>
          <w:bCs/>
          <w:i/>
          <w:iCs/>
          <w:sz w:val="22"/>
          <w:szCs w:val="22"/>
          <w:lang w:eastAsia="zh-CN"/>
        </w:rPr>
        <w:t>/przyporządkowanych do tej samej dyscypliny</w:t>
      </w:r>
      <w:r w:rsidR="00825339" w:rsidRPr="00134A16">
        <w:rPr>
          <w:rFonts w:cs="Times New Roman"/>
          <w:bCs/>
          <w:i/>
          <w:iCs/>
          <w:sz w:val="22"/>
          <w:szCs w:val="22"/>
          <w:lang w:eastAsia="zh-CN"/>
        </w:rPr>
        <w:t xml:space="preserve"> i wskazanie różnic</w:t>
      </w:r>
    </w:p>
    <w:p w14:paraId="222AFBEA" w14:textId="341ACCFD" w:rsidR="00166689" w:rsidRPr="0040739A" w:rsidRDefault="00BC78BC" w:rsidP="00166689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jc w:val="both"/>
        <w:rPr>
          <w:rFonts w:cs="Times New Roman"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 xml:space="preserve">Plan studiów </w:t>
      </w:r>
      <w:r w:rsidR="00825339" w:rsidRPr="00134A16">
        <w:rPr>
          <w:rFonts w:cs="Times New Roman"/>
          <w:b/>
          <w:sz w:val="22"/>
          <w:szCs w:val="22"/>
        </w:rPr>
        <w:t xml:space="preserve">– </w:t>
      </w:r>
      <w:r w:rsidR="00825339" w:rsidRPr="00134A16">
        <w:rPr>
          <w:rFonts w:cs="Times New Roman"/>
          <w:bCs/>
          <w:i/>
          <w:iCs/>
          <w:sz w:val="22"/>
          <w:szCs w:val="22"/>
        </w:rPr>
        <w:t xml:space="preserve">zamieszczony zgodnie z </w:t>
      </w:r>
      <w:r w:rsidR="00211D6A" w:rsidRPr="00134A16">
        <w:rPr>
          <w:rFonts w:cs="Times New Roman"/>
          <w:bCs/>
          <w:i/>
          <w:iCs/>
          <w:sz w:val="22"/>
          <w:szCs w:val="22"/>
        </w:rPr>
        <w:t>wzorem stanowiącym załączniki do Zarządzenia nr 9 Rektora UŁ z dnia 10</w:t>
      </w:r>
      <w:r w:rsidR="00765B23" w:rsidRPr="00134A16">
        <w:rPr>
          <w:rFonts w:cs="Times New Roman"/>
          <w:bCs/>
          <w:i/>
          <w:iCs/>
          <w:sz w:val="22"/>
          <w:szCs w:val="22"/>
        </w:rPr>
        <w:t>.</w:t>
      </w:r>
      <w:r w:rsidR="00211D6A" w:rsidRPr="00134A16">
        <w:rPr>
          <w:rFonts w:cs="Times New Roman"/>
          <w:bCs/>
          <w:i/>
          <w:iCs/>
          <w:sz w:val="22"/>
          <w:szCs w:val="22"/>
        </w:rPr>
        <w:t>10</w:t>
      </w:r>
      <w:r w:rsidR="00765B23" w:rsidRPr="00134A16">
        <w:rPr>
          <w:rFonts w:cs="Times New Roman"/>
          <w:bCs/>
          <w:i/>
          <w:iCs/>
          <w:sz w:val="22"/>
          <w:szCs w:val="22"/>
        </w:rPr>
        <w:t>.</w:t>
      </w:r>
      <w:r w:rsidR="00211D6A" w:rsidRPr="00134A16">
        <w:rPr>
          <w:rFonts w:cs="Times New Roman"/>
          <w:bCs/>
          <w:i/>
          <w:iCs/>
          <w:sz w:val="22"/>
          <w:szCs w:val="22"/>
        </w:rPr>
        <w:t>2017 r. w sprawie</w:t>
      </w:r>
      <w:r w:rsidR="00166689" w:rsidRPr="00134A16">
        <w:rPr>
          <w:rFonts w:cs="Times New Roman"/>
          <w:bCs/>
          <w:i/>
          <w:iCs/>
          <w:sz w:val="22"/>
          <w:szCs w:val="22"/>
        </w:rPr>
        <w:t xml:space="preserve"> obowiązującego wzoru planu studiów (siatki godzin).</w:t>
      </w:r>
      <w:r w:rsidR="00166689" w:rsidRPr="00134A16">
        <w:rPr>
          <w:rFonts w:cs="Times New Roman"/>
          <w:sz w:val="22"/>
          <w:szCs w:val="22"/>
        </w:rPr>
        <w:t xml:space="preserve"> </w:t>
      </w:r>
      <w:r w:rsidR="00166689" w:rsidRPr="00134A16">
        <w:rPr>
          <w:rFonts w:cs="Times New Roman"/>
          <w:i/>
          <w:iCs/>
          <w:sz w:val="22"/>
          <w:szCs w:val="22"/>
        </w:rPr>
        <w:t>Plan studiów stanowi integralną część programu studiów (nie należy go zamieszczać w załącznikach).</w:t>
      </w:r>
      <w:r w:rsidR="00166689" w:rsidRPr="00134A16">
        <w:rPr>
          <w:rFonts w:cs="Times New Roman"/>
          <w:sz w:val="22"/>
          <w:szCs w:val="22"/>
        </w:rPr>
        <w:t xml:space="preserve"> </w:t>
      </w:r>
      <w:r w:rsidR="00D74837" w:rsidRPr="00134A16">
        <w:rPr>
          <w:rFonts w:cs="Times New Roman"/>
          <w:i/>
          <w:iCs/>
          <w:sz w:val="22"/>
          <w:szCs w:val="22"/>
        </w:rPr>
        <w:t xml:space="preserve">Osobny dla formy stacjonarnej i niestacjonarnej. </w:t>
      </w:r>
      <w:r w:rsidR="00166689" w:rsidRPr="00134A16">
        <w:rPr>
          <w:rFonts w:cs="Times New Roman"/>
          <w:i/>
          <w:iCs/>
          <w:sz w:val="22"/>
          <w:szCs w:val="22"/>
        </w:rPr>
        <w:t>Sumowania punktów ECTS w siatce powinny być zgodne z bilansem punktów ECTS w punkcie 16.</w:t>
      </w:r>
    </w:p>
    <w:p w14:paraId="0336E1B4" w14:textId="33F07358" w:rsidR="0040739A" w:rsidRDefault="0040739A" w:rsidP="0040739A">
      <w:pPr>
        <w:tabs>
          <w:tab w:val="left" w:pos="0"/>
          <w:tab w:val="left" w:pos="426"/>
        </w:tabs>
        <w:spacing w:before="360" w:after="120" w:line="276" w:lineRule="auto"/>
        <w:ind w:left="0"/>
        <w:jc w:val="both"/>
        <w:rPr>
          <w:rFonts w:cs="Times New Roman"/>
          <w:i/>
          <w:iCs/>
          <w:sz w:val="22"/>
          <w:szCs w:val="22"/>
        </w:rPr>
      </w:pPr>
      <w:r w:rsidRPr="0040739A">
        <w:rPr>
          <w:rFonts w:cs="Times New Roman"/>
          <w:i/>
          <w:iCs/>
          <w:sz w:val="22"/>
          <w:szCs w:val="22"/>
        </w:rPr>
        <w:t xml:space="preserve">Punkty ECTS stanowią miarę średniego nakładu pracy studenta niezbędnego do uzyskania efektów uczenia się. </w:t>
      </w:r>
      <w:r w:rsidRPr="0040739A">
        <w:rPr>
          <w:rFonts w:cs="Times New Roman"/>
          <w:b/>
          <w:bCs/>
          <w:i/>
          <w:iCs/>
          <w:sz w:val="22"/>
          <w:szCs w:val="22"/>
        </w:rPr>
        <w:t>Punkt ECTS</w:t>
      </w:r>
      <w:r w:rsidRPr="0040739A">
        <w:rPr>
          <w:rFonts w:cs="Times New Roman"/>
          <w:i/>
          <w:iCs/>
          <w:sz w:val="22"/>
          <w:szCs w:val="22"/>
        </w:rPr>
        <w:t xml:space="preserve"> odpowiada </w:t>
      </w:r>
      <w:r w:rsidRPr="0040739A">
        <w:rPr>
          <w:rFonts w:cs="Times New Roman"/>
          <w:b/>
          <w:bCs/>
          <w:i/>
          <w:iCs/>
          <w:sz w:val="22"/>
          <w:szCs w:val="22"/>
        </w:rPr>
        <w:t>25–30 godzinom</w:t>
      </w:r>
      <w:r w:rsidRPr="0040739A">
        <w:rPr>
          <w:rFonts w:cs="Times New Roman"/>
          <w:i/>
          <w:iCs/>
          <w:sz w:val="22"/>
          <w:szCs w:val="22"/>
        </w:rPr>
        <w:t xml:space="preserve"> pracy studenta obejmującym zajęcia organizowane przez uczelnię oraz jego indywidualną pracę związaną z tymi zajęciami.</w:t>
      </w:r>
    </w:p>
    <w:p w14:paraId="2A85D707" w14:textId="66AFDD26" w:rsidR="00EC1E16" w:rsidRPr="0040739A" w:rsidRDefault="00EC1E16" w:rsidP="0040739A">
      <w:pPr>
        <w:tabs>
          <w:tab w:val="left" w:pos="0"/>
          <w:tab w:val="left" w:pos="426"/>
        </w:tabs>
        <w:spacing w:before="360" w:after="120" w:line="276" w:lineRule="auto"/>
        <w:ind w:left="0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Plan studiów </w:t>
      </w:r>
      <w:r w:rsidR="009207AB">
        <w:rPr>
          <w:rFonts w:cs="Times New Roman"/>
          <w:i/>
          <w:iCs/>
          <w:sz w:val="22"/>
          <w:szCs w:val="22"/>
        </w:rPr>
        <w:t>powinien być stworzony zgodnie z obowiązującym Wydziałowym systemem ECTS (odrę</w:t>
      </w:r>
      <w:r w:rsidR="003E2DE9">
        <w:rPr>
          <w:rFonts w:cs="Times New Roman"/>
          <w:i/>
          <w:iCs/>
          <w:sz w:val="22"/>
          <w:szCs w:val="22"/>
        </w:rPr>
        <w:t>b</w:t>
      </w:r>
      <w:r w:rsidR="009207AB">
        <w:rPr>
          <w:rFonts w:cs="Times New Roman"/>
          <w:i/>
          <w:iCs/>
          <w:sz w:val="22"/>
          <w:szCs w:val="22"/>
        </w:rPr>
        <w:t>ne ZR)</w:t>
      </w:r>
      <w:r w:rsidR="003E2DE9">
        <w:rPr>
          <w:rFonts w:cs="Times New Roman"/>
          <w:i/>
          <w:iCs/>
          <w:sz w:val="22"/>
          <w:szCs w:val="22"/>
        </w:rPr>
        <w:t>.</w:t>
      </w:r>
    </w:p>
    <w:p w14:paraId="572162AB" w14:textId="481285EE" w:rsidR="00765B23" w:rsidRDefault="00765B23" w:rsidP="00765B23">
      <w:pPr>
        <w:tabs>
          <w:tab w:val="left" w:pos="0"/>
          <w:tab w:val="left" w:pos="426"/>
        </w:tabs>
        <w:spacing w:before="360" w:after="120" w:line="276" w:lineRule="auto"/>
        <w:ind w:left="0"/>
        <w:jc w:val="both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i/>
          <w:iCs/>
          <w:sz w:val="22"/>
          <w:szCs w:val="22"/>
        </w:rPr>
        <w:t>W programie studiów pierwszego stopnia i jednolitych studiów magisterskich prowadzonych w formie studiów stacjonarnych określa się również zajęcia z wychowania fizycznego w wymiarze nie mniejszym niż 60 godzin; zajęciom z wychowania fizycznego nie przypisuje się punktów ECTS.</w:t>
      </w:r>
    </w:p>
    <w:p w14:paraId="49D47626" w14:textId="1921793D" w:rsidR="00D959E2" w:rsidRPr="00134A16" w:rsidRDefault="0034761D" w:rsidP="0034761D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134A16">
        <w:rPr>
          <w:rFonts w:cs="Times New Roman"/>
          <w:sz w:val="22"/>
          <w:szCs w:val="22"/>
        </w:rPr>
        <w:tab/>
      </w:r>
      <w:r w:rsidR="00D959E2" w:rsidRPr="00134A16">
        <w:rPr>
          <w:rFonts w:eastAsia="Calibri" w:cs="Times New Roman"/>
          <w:b/>
          <w:sz w:val="22"/>
          <w:szCs w:val="22"/>
          <w:lang w:eastAsia="en-US"/>
        </w:rPr>
        <w:t>Bilans punktów ECTS wraz ze wskaźnikami charakteryzującymi program studiów</w:t>
      </w:r>
      <w:r w:rsidR="00C873AB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– w bilansie należy wskazać następujące wskaźniki</w:t>
      </w:r>
      <w:r w:rsidR="003E2DE9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(poniższe elementy mogą być wykazane w formie opisowej</w:t>
      </w:r>
      <w:r w:rsidR="00DE21FB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</w:t>
      </w:r>
      <w:r w:rsidR="006164D4">
        <w:rPr>
          <w:rFonts w:eastAsia="Calibri" w:cs="Times New Roman"/>
          <w:bCs/>
          <w:i/>
          <w:iCs/>
          <w:sz w:val="22"/>
          <w:szCs w:val="22"/>
          <w:lang w:eastAsia="en-US"/>
        </w:rPr>
        <w:t>albo</w:t>
      </w:r>
      <w:r w:rsidR="00DE21FB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tabelarycznej</w:t>
      </w:r>
      <w:r w:rsidR="003E2DE9">
        <w:rPr>
          <w:rFonts w:eastAsia="Calibri" w:cs="Times New Roman"/>
          <w:bCs/>
          <w:i/>
          <w:iCs/>
          <w:sz w:val="22"/>
          <w:szCs w:val="22"/>
          <w:lang w:eastAsia="en-US"/>
        </w:rPr>
        <w:t>)</w:t>
      </w:r>
      <w:r w:rsidR="00C873AB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:</w:t>
      </w:r>
    </w:p>
    <w:p w14:paraId="389CB974" w14:textId="77777777" w:rsidR="00FF6AD0" w:rsidRDefault="00350238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  <w:r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- </w:t>
      </w:r>
      <w:r w:rsidR="00C873AB" w:rsidRPr="00350238">
        <w:rPr>
          <w:rFonts w:eastAsia="Calibri" w:cs="Times New Roman"/>
          <w:bCs/>
          <w:sz w:val="22"/>
          <w:szCs w:val="22"/>
          <w:lang w:eastAsia="en-US"/>
        </w:rPr>
        <w:t>liczba semestrów i łączna liczba punktów ECTS, jaką student musi zdobyć, aby uzyskać określone kwalifikacje</w:t>
      </w:r>
      <w:r w:rsidR="00C873AB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,</w:t>
      </w:r>
    </w:p>
    <w:p w14:paraId="49F0A043" w14:textId="08E1D856" w:rsidR="00C873AB" w:rsidRPr="00FF6AD0" w:rsidRDefault="00FF6AD0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FF6AD0">
        <w:rPr>
          <w:rFonts w:eastAsia="Calibri" w:cs="Times New Roman"/>
          <w:bCs/>
          <w:sz w:val="22"/>
          <w:szCs w:val="22"/>
          <w:lang w:eastAsia="en-US"/>
        </w:rPr>
        <w:t>- łączną liczbę godzin zajęć, w tym praktyk, które student musi zrealizować w toku studiów; w przypadku specjalności/modułów/przedmiotów do wyboru o różnej liczbie godzin – najwyższą łączną liczbę godzin</w:t>
      </w:r>
      <w:r>
        <w:rPr>
          <w:rFonts w:eastAsia="Calibri" w:cs="Times New Roman"/>
          <w:bCs/>
          <w:sz w:val="22"/>
          <w:szCs w:val="22"/>
          <w:lang w:eastAsia="en-US"/>
        </w:rPr>
        <w:t>,</w:t>
      </w:r>
    </w:p>
    <w:p w14:paraId="064FF650" w14:textId="30C24811" w:rsidR="00C873AB" w:rsidRPr="00134A16" w:rsidRDefault="00C873AB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- </w:t>
      </w:r>
      <w:r w:rsidRPr="00350238">
        <w:rPr>
          <w:rFonts w:eastAsia="Calibri" w:cs="Times New Roman"/>
          <w:bCs/>
          <w:sz w:val="22"/>
          <w:szCs w:val="22"/>
          <w:lang w:eastAsia="en-US"/>
        </w:rPr>
        <w:t>łączna liczba punktów ECTS, którą student musi uzyskać na zajęciach kontaktowych (wymagających bezpośredniego udziału wykładowców i studentów)</w:t>
      </w: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– dla studiów stacjonarnych</w:t>
      </w:r>
      <w:r w:rsidR="003B0CA2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nie mniej niż 50% punktów ECTS,</w:t>
      </w:r>
    </w:p>
    <w:p w14:paraId="1849702D" w14:textId="20D775C4" w:rsidR="003B0CA2" w:rsidRPr="00134A16" w:rsidRDefault="003B0CA2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- </w:t>
      </w:r>
      <w:r w:rsidRPr="00350238">
        <w:rPr>
          <w:rFonts w:eastAsia="Calibri" w:cs="Times New Roman"/>
          <w:bCs/>
          <w:sz w:val="22"/>
          <w:szCs w:val="22"/>
          <w:lang w:eastAsia="en-US"/>
        </w:rPr>
        <w:t>łączn</w:t>
      </w:r>
      <w:r w:rsidR="00657A51">
        <w:rPr>
          <w:rFonts w:eastAsia="Calibri" w:cs="Times New Roman"/>
          <w:bCs/>
          <w:sz w:val="22"/>
          <w:szCs w:val="22"/>
          <w:lang w:eastAsia="en-US"/>
        </w:rPr>
        <w:t>a</w:t>
      </w:r>
      <w:r w:rsidRPr="00350238">
        <w:rPr>
          <w:rFonts w:eastAsia="Calibri" w:cs="Times New Roman"/>
          <w:bCs/>
          <w:sz w:val="22"/>
          <w:szCs w:val="22"/>
          <w:lang w:eastAsia="en-US"/>
        </w:rPr>
        <w:t xml:space="preserve"> liczb</w:t>
      </w:r>
      <w:r w:rsidR="00657A51">
        <w:rPr>
          <w:rFonts w:eastAsia="Calibri" w:cs="Times New Roman"/>
          <w:bCs/>
          <w:sz w:val="22"/>
          <w:szCs w:val="22"/>
          <w:lang w:eastAsia="en-US"/>
        </w:rPr>
        <w:t>a</w:t>
      </w:r>
      <w:r w:rsidRPr="00350238">
        <w:rPr>
          <w:rFonts w:eastAsia="Calibri" w:cs="Times New Roman"/>
          <w:bCs/>
          <w:sz w:val="22"/>
          <w:szCs w:val="22"/>
          <w:lang w:eastAsia="en-US"/>
        </w:rPr>
        <w:t xml:space="preserve"> punktów ECTS, którą student musi uzyskać w ramach zajęć kształtujących umiejętności praktyczne</w:t>
      </w:r>
      <w:r w:rsidR="00765B23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-  dla profilu praktycznego zajęcia kształtujące umiejętności praktyczne w wymiarze większym niż 50% 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ogólnej</w:t>
      </w:r>
      <w:r w:rsidR="00765B23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liczby punktów ECTS; dla profilu ogólnoakademickiego </w:t>
      </w:r>
      <w:r w:rsidR="0019761A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w wymiarze poniżej 50% 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ogólne</w:t>
      </w:r>
      <w:r w:rsidR="0019761A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j liczby punktów ECTS,</w:t>
      </w:r>
    </w:p>
    <w:p w14:paraId="63B97F5E" w14:textId="4F3274F4" w:rsidR="00AA4E99" w:rsidRPr="00134A16" w:rsidRDefault="00AA4E99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lastRenderedPageBreak/>
        <w:t xml:space="preserve">- </w:t>
      </w:r>
      <w:r w:rsidR="00DF60E7" w:rsidRPr="00673E33">
        <w:rPr>
          <w:rFonts w:eastAsia="Calibri" w:cs="Times New Roman"/>
          <w:bCs/>
          <w:sz w:val="22"/>
          <w:szCs w:val="22"/>
          <w:lang w:eastAsia="en-US"/>
        </w:rPr>
        <w:t>liczb</w:t>
      </w:r>
      <w:r w:rsidR="00657A51" w:rsidRPr="00673E33">
        <w:rPr>
          <w:rFonts w:eastAsia="Calibri" w:cs="Times New Roman"/>
          <w:bCs/>
          <w:sz w:val="22"/>
          <w:szCs w:val="22"/>
          <w:lang w:eastAsia="en-US"/>
        </w:rPr>
        <w:t>a</w:t>
      </w:r>
      <w:r w:rsidR="00DF60E7" w:rsidRPr="00673E33">
        <w:rPr>
          <w:rFonts w:eastAsia="Calibri" w:cs="Times New Roman"/>
          <w:bCs/>
          <w:sz w:val="22"/>
          <w:szCs w:val="22"/>
          <w:lang w:eastAsia="en-US"/>
        </w:rPr>
        <w:t xml:space="preserve"> punktów ECTS, którą student musi uzyskać, realizując moduły kształcenia w zakresie zajęć ogólnouczelnianych lub na innym kierunku studiów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, </w:t>
      </w:r>
      <w:r w:rsidR="00657A51">
        <w:rPr>
          <w:rFonts w:eastAsia="Calibri" w:cs="Times New Roman"/>
          <w:bCs/>
          <w:i/>
          <w:iCs/>
          <w:sz w:val="22"/>
          <w:szCs w:val="22"/>
          <w:lang w:eastAsia="en-US"/>
        </w:rPr>
        <w:t>jeśli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program studiów</w:t>
      </w:r>
      <w:r w:rsidR="00657A51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ich</w:t>
      </w:r>
      <w:r w:rsidR="00B5456C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nie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przewiduje</w:t>
      </w:r>
      <w:r w:rsidR="00B5456C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wskazujemy 0.</w:t>
      </w:r>
      <w:r w:rsidR="00DF60E7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,</w:t>
      </w:r>
    </w:p>
    <w:p w14:paraId="643A08B8" w14:textId="4AF16836" w:rsidR="00DF60E7" w:rsidRPr="0040726C" w:rsidRDefault="00DF60E7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673E33">
        <w:rPr>
          <w:rFonts w:eastAsia="Calibri" w:cs="Times New Roman"/>
          <w:bCs/>
          <w:sz w:val="22"/>
          <w:szCs w:val="22"/>
          <w:lang w:eastAsia="en-US"/>
        </w:rPr>
        <w:t>- liczb</w:t>
      </w:r>
      <w:r w:rsidR="00B5456C" w:rsidRPr="00673E33">
        <w:rPr>
          <w:rFonts w:eastAsia="Calibri" w:cs="Times New Roman"/>
          <w:bCs/>
          <w:sz w:val="22"/>
          <w:szCs w:val="22"/>
          <w:lang w:eastAsia="en-US"/>
        </w:rPr>
        <w:t>a</w:t>
      </w:r>
      <w:r w:rsidRPr="00673E33">
        <w:rPr>
          <w:rFonts w:eastAsia="Calibri" w:cs="Times New Roman"/>
          <w:bCs/>
          <w:sz w:val="22"/>
          <w:szCs w:val="22"/>
          <w:lang w:eastAsia="en-US"/>
        </w:rPr>
        <w:t xml:space="preserve"> punktów ECTS, którą student musi uzyskać w ramach zajęć z dziedziny nauk humanistycznych lub nauk społecznych</w:t>
      </w: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</w:t>
      </w:r>
      <w:r w:rsidR="00B93D7F" w:rsidRPr="0040726C">
        <w:rPr>
          <w:rFonts w:eastAsia="Calibri" w:cs="Times New Roman"/>
          <w:bCs/>
          <w:sz w:val="22"/>
          <w:szCs w:val="22"/>
          <w:lang w:eastAsia="en-US"/>
        </w:rPr>
        <w:t xml:space="preserve">- </w:t>
      </w:r>
      <w:r w:rsidRPr="0040726C">
        <w:rPr>
          <w:rFonts w:eastAsia="Calibri" w:cs="Times New Roman"/>
          <w:bCs/>
          <w:sz w:val="22"/>
          <w:szCs w:val="22"/>
          <w:lang w:eastAsia="en-US"/>
        </w:rPr>
        <w:t>nie mniejszą niż 5 punktów ECTS, w przypadku kierunków studiów przyporządkowanych do dyscyplin w ramach dziedzin innych niż odpowiednio nauki humanistyczne lub nauki społeczne</w:t>
      </w:r>
      <w:r w:rsidR="00FF6AD0" w:rsidRPr="0040726C">
        <w:rPr>
          <w:rFonts w:eastAsia="Calibri" w:cs="Times New Roman"/>
          <w:bCs/>
          <w:sz w:val="22"/>
          <w:szCs w:val="22"/>
          <w:lang w:eastAsia="en-US"/>
        </w:rPr>
        <w:t xml:space="preserve"> </w:t>
      </w:r>
      <w:r w:rsidR="00FF6AD0" w:rsidRPr="00C50916">
        <w:rPr>
          <w:rFonts w:eastAsia="Calibri" w:cs="Times New Roman"/>
          <w:bCs/>
          <w:sz w:val="22"/>
          <w:szCs w:val="22"/>
          <w:lang w:eastAsia="en-US"/>
        </w:rPr>
        <w:t xml:space="preserve">– </w:t>
      </w:r>
      <w:r w:rsidR="00C208C5" w:rsidRPr="00C50916">
        <w:rPr>
          <w:rFonts w:eastAsia="Calibri" w:cs="Times New Roman"/>
          <w:bCs/>
          <w:sz w:val="22"/>
          <w:szCs w:val="22"/>
          <w:lang w:eastAsia="en-US"/>
        </w:rPr>
        <w:t>dotyczy również kierunków przyporządkowanych do dziedziny nauk humanistycznych albo dziedziny nauk społecznych</w:t>
      </w:r>
    </w:p>
    <w:p w14:paraId="0EDDEF65" w14:textId="0447155F" w:rsidR="003B0CA2" w:rsidRDefault="00DF60E7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- </w:t>
      </w:r>
      <w:r w:rsidRPr="00673E33">
        <w:rPr>
          <w:rFonts w:eastAsia="Calibri" w:cs="Times New Roman"/>
          <w:bCs/>
          <w:sz w:val="22"/>
          <w:szCs w:val="22"/>
          <w:lang w:eastAsia="en-US"/>
        </w:rPr>
        <w:t>liczb</w:t>
      </w:r>
      <w:r w:rsidR="00B93D7F" w:rsidRPr="00673E33">
        <w:rPr>
          <w:rFonts w:eastAsia="Calibri" w:cs="Times New Roman"/>
          <w:bCs/>
          <w:sz w:val="22"/>
          <w:szCs w:val="22"/>
          <w:lang w:eastAsia="en-US"/>
        </w:rPr>
        <w:t>a</w:t>
      </w:r>
      <w:r w:rsidRPr="00673E33">
        <w:rPr>
          <w:rFonts w:eastAsia="Calibri" w:cs="Times New Roman"/>
          <w:bCs/>
          <w:sz w:val="22"/>
          <w:szCs w:val="22"/>
          <w:lang w:eastAsia="en-US"/>
        </w:rPr>
        <w:t xml:space="preserve"> punktów ECTS, którą student musi uzyskać w ramach zajęć do wyboru</w:t>
      </w: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 xml:space="preserve"> - </w:t>
      </w:r>
      <w:r w:rsidR="00DE21FB">
        <w:rPr>
          <w:rFonts w:eastAsia="Calibri" w:cs="Times New Roman"/>
          <w:bCs/>
          <w:i/>
          <w:iCs/>
          <w:sz w:val="22"/>
          <w:szCs w:val="22"/>
          <w:lang w:eastAsia="en-US"/>
        </w:rPr>
        <w:t>p</w:t>
      </w:r>
      <w:r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rogram studiów umożliwia studentowi wybór zajęć, którym przypisano punkty ECTS w wymiarze nie mniejszym niż 30% ogólnej liczby punktów ECTS</w:t>
      </w:r>
      <w:r w:rsidR="004354BA" w:rsidRPr="00134A16">
        <w:rPr>
          <w:rFonts w:eastAsia="Calibri" w:cs="Times New Roman"/>
          <w:bCs/>
          <w:i/>
          <w:iCs/>
          <w:sz w:val="22"/>
          <w:szCs w:val="22"/>
          <w:lang w:eastAsia="en-US"/>
        </w:rPr>
        <w:t>.</w:t>
      </w:r>
    </w:p>
    <w:p w14:paraId="03E4FEF0" w14:textId="77777777" w:rsidR="00A33BFA" w:rsidRDefault="00A33BFA" w:rsidP="00A33BFA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A33BFA" w14:paraId="0BC41A70" w14:textId="77777777" w:rsidTr="00575532">
        <w:tc>
          <w:tcPr>
            <w:tcW w:w="4529" w:type="dxa"/>
          </w:tcPr>
          <w:p w14:paraId="0314F8D6" w14:textId="77777777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liczba semestrów i łączna liczba punktów ECTS, jaką student musi zdobyć, aby uzyskać określone kwalifikacje</w:t>
            </w:r>
          </w:p>
        </w:tc>
        <w:tc>
          <w:tcPr>
            <w:tcW w:w="4530" w:type="dxa"/>
          </w:tcPr>
          <w:p w14:paraId="569ACD55" w14:textId="77777777" w:rsidR="00A33BFA" w:rsidRDefault="00A33BFA" w:rsidP="00043FA3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center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E2DD0" w14:paraId="472BF37F" w14:textId="77777777" w:rsidTr="00575532">
        <w:tc>
          <w:tcPr>
            <w:tcW w:w="4529" w:type="dxa"/>
          </w:tcPr>
          <w:p w14:paraId="2401D876" w14:textId="665A3102" w:rsidR="002E2DD0" w:rsidRPr="00043FA3" w:rsidRDefault="002E2DD0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2E2DD0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łączną liczbę godzin zajęć, w tym praktyk, które student musi zrealizować w toku studiów; w przypadku specjalności/modułów/przedmiotów do wyboru o różnej liczbie godzin – najwyższą łączną liczbę godzin</w:t>
            </w:r>
          </w:p>
        </w:tc>
        <w:tc>
          <w:tcPr>
            <w:tcW w:w="4530" w:type="dxa"/>
          </w:tcPr>
          <w:p w14:paraId="75D9FF81" w14:textId="77777777" w:rsidR="002E2DD0" w:rsidRDefault="002E2DD0" w:rsidP="00043FA3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center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33BFA" w14:paraId="680313B2" w14:textId="77777777" w:rsidTr="00575532">
        <w:tc>
          <w:tcPr>
            <w:tcW w:w="4529" w:type="dxa"/>
          </w:tcPr>
          <w:p w14:paraId="7D36FC06" w14:textId="77777777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łączna liczba punktów ECTS, którą student musi uzyskać na zajęciach kontaktowych (wymagających bezpośredniego udziału wykładowców i studentów)</w:t>
            </w:r>
          </w:p>
        </w:tc>
        <w:tc>
          <w:tcPr>
            <w:tcW w:w="4530" w:type="dxa"/>
          </w:tcPr>
          <w:p w14:paraId="416F5B01" w14:textId="77777777" w:rsidR="00A33BFA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33BFA" w14:paraId="7FDBF3C7" w14:textId="77777777" w:rsidTr="00575532">
        <w:tc>
          <w:tcPr>
            <w:tcW w:w="4529" w:type="dxa"/>
          </w:tcPr>
          <w:p w14:paraId="591787CD" w14:textId="7CD4D9D1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łączn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a</w:t>
            </w: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liczb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a</w:t>
            </w: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punktów ECTS, którą student musi uzyskać w ramach zajęć kształtujących umiejętności praktyczne</w:t>
            </w:r>
          </w:p>
        </w:tc>
        <w:tc>
          <w:tcPr>
            <w:tcW w:w="4530" w:type="dxa"/>
          </w:tcPr>
          <w:p w14:paraId="76C1B224" w14:textId="77777777" w:rsidR="00A33BFA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33BFA" w14:paraId="7F5DAD75" w14:textId="77777777" w:rsidTr="00575532">
        <w:tc>
          <w:tcPr>
            <w:tcW w:w="4529" w:type="dxa"/>
          </w:tcPr>
          <w:p w14:paraId="34241E4B" w14:textId="7A96BB49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liczb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a</w:t>
            </w: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punktów ECTS, którą student musi uzyskać, realizując moduły kształcenia w zakresie zajęć ogólnouczelnianych lub na innym kierunku studiów</w:t>
            </w:r>
          </w:p>
        </w:tc>
        <w:tc>
          <w:tcPr>
            <w:tcW w:w="4530" w:type="dxa"/>
          </w:tcPr>
          <w:p w14:paraId="68AAE69B" w14:textId="77777777" w:rsidR="00A33BFA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33BFA" w14:paraId="590744D4" w14:textId="77777777" w:rsidTr="00575532">
        <w:tc>
          <w:tcPr>
            <w:tcW w:w="4529" w:type="dxa"/>
          </w:tcPr>
          <w:p w14:paraId="47D469F3" w14:textId="46A13AFC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liczb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a</w:t>
            </w: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punktów ECTS, którą student musi uzyskać w ramach zajęć z dziedziny nauk humanistycznych lub nauk społecznyc</w:t>
            </w:r>
            <w:r w:rsidR="00C208C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h </w:t>
            </w:r>
          </w:p>
        </w:tc>
        <w:tc>
          <w:tcPr>
            <w:tcW w:w="4530" w:type="dxa"/>
          </w:tcPr>
          <w:p w14:paraId="3AF16047" w14:textId="77777777" w:rsidR="00A33BFA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33BFA" w14:paraId="5552ECA6" w14:textId="77777777" w:rsidTr="00575532">
        <w:tc>
          <w:tcPr>
            <w:tcW w:w="4529" w:type="dxa"/>
          </w:tcPr>
          <w:p w14:paraId="06E86C56" w14:textId="5BD419F3" w:rsidR="00A33BFA" w:rsidRPr="00043FA3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liczb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a</w:t>
            </w:r>
            <w:r w:rsidRPr="00043FA3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punktów ECTS, którą student musi uzyskać w ramach zajęć do wyboru</w:t>
            </w:r>
          </w:p>
        </w:tc>
        <w:tc>
          <w:tcPr>
            <w:tcW w:w="4530" w:type="dxa"/>
          </w:tcPr>
          <w:p w14:paraId="1D90C143" w14:textId="77777777" w:rsidR="00A33BFA" w:rsidRDefault="00A33BFA" w:rsidP="00575532">
            <w:pPr>
              <w:tabs>
                <w:tab w:val="left" w:pos="0"/>
                <w:tab w:val="left" w:pos="426"/>
              </w:tabs>
              <w:spacing w:after="120" w:line="276" w:lineRule="auto"/>
              <w:ind w:left="0"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0B8DA5BB" w14:textId="77777777" w:rsidR="00A33BFA" w:rsidRPr="00134A16" w:rsidRDefault="00A33BFA" w:rsidP="00516101">
      <w:pPr>
        <w:tabs>
          <w:tab w:val="left" w:pos="0"/>
          <w:tab w:val="left" w:pos="426"/>
        </w:tabs>
        <w:spacing w:after="120" w:line="276" w:lineRule="auto"/>
        <w:ind w:left="0"/>
        <w:jc w:val="both"/>
        <w:rPr>
          <w:rFonts w:eastAsia="Calibri" w:cs="Times New Roman"/>
          <w:bCs/>
          <w:i/>
          <w:iCs/>
          <w:sz w:val="22"/>
          <w:szCs w:val="22"/>
          <w:lang w:eastAsia="en-US"/>
        </w:rPr>
      </w:pPr>
    </w:p>
    <w:p w14:paraId="7C153C4A" w14:textId="16E0E584" w:rsidR="00C21192" w:rsidRPr="00134A16" w:rsidRDefault="006A7270" w:rsidP="00FC1459">
      <w:pPr>
        <w:numPr>
          <w:ilvl w:val="0"/>
          <w:numId w:val="3"/>
        </w:numPr>
        <w:tabs>
          <w:tab w:val="left" w:pos="0"/>
          <w:tab w:val="left" w:pos="426"/>
        </w:tabs>
        <w:spacing w:before="360" w:after="120" w:line="276" w:lineRule="auto"/>
        <w:rPr>
          <w:rFonts w:cs="Times New Roman"/>
          <w:i/>
          <w:iCs/>
          <w:sz w:val="22"/>
          <w:szCs w:val="22"/>
        </w:rPr>
      </w:pPr>
      <w:r w:rsidRPr="00134A16">
        <w:rPr>
          <w:rFonts w:cs="Times New Roman"/>
          <w:b/>
          <w:sz w:val="22"/>
          <w:szCs w:val="22"/>
        </w:rPr>
        <w:t xml:space="preserve">Opis </w:t>
      </w:r>
      <w:r w:rsidR="003D719A" w:rsidRPr="00134A16">
        <w:rPr>
          <w:rFonts w:cs="Times New Roman"/>
          <w:b/>
          <w:sz w:val="22"/>
          <w:szCs w:val="22"/>
        </w:rPr>
        <w:t>procesu prowadzącego do uzyskania efektów uczenia się</w:t>
      </w:r>
      <w:r w:rsidR="00516101" w:rsidRPr="00134A16">
        <w:rPr>
          <w:rFonts w:cs="Times New Roman"/>
          <w:b/>
          <w:sz w:val="22"/>
          <w:szCs w:val="22"/>
        </w:rPr>
        <w:t>:</w:t>
      </w:r>
    </w:p>
    <w:p w14:paraId="7B2D5B10" w14:textId="76FAFDA6" w:rsidR="006B152E" w:rsidRPr="0040726C" w:rsidRDefault="006B152E" w:rsidP="00C50916">
      <w:pPr>
        <w:pStyle w:val="Akapitzlist"/>
        <w:numPr>
          <w:ilvl w:val="0"/>
          <w:numId w:val="42"/>
        </w:numPr>
        <w:tabs>
          <w:tab w:val="left" w:pos="0"/>
          <w:tab w:val="left" w:pos="426"/>
        </w:tabs>
        <w:spacing w:before="360" w:after="120"/>
        <w:rPr>
          <w:rFonts w:ascii="Times New Roman" w:hAnsi="Times New Roman" w:cs="Times New Roman"/>
          <w:b/>
        </w:rPr>
      </w:pPr>
      <w:r w:rsidRPr="0040726C">
        <w:rPr>
          <w:rFonts w:ascii="Times New Roman" w:hAnsi="Times New Roman" w:cs="Times New Roman"/>
          <w:b/>
        </w:rPr>
        <w:lastRenderedPageBreak/>
        <w:t xml:space="preserve">opisy przedmiotów (sylabusy), w zakresie określonym odrębnym zarządzeniem Rektora – </w:t>
      </w:r>
      <w:r w:rsidR="0040726C">
        <w:rPr>
          <w:rFonts w:ascii="Times New Roman" w:hAnsi="Times New Roman" w:cs="Times New Roman"/>
          <w:b/>
        </w:rPr>
        <w:t xml:space="preserve">w załączeniu </w:t>
      </w:r>
      <w:r w:rsidR="0040726C" w:rsidRPr="0040726C">
        <w:rPr>
          <w:rFonts w:ascii="Times New Roman" w:hAnsi="Times New Roman" w:cs="Times New Roman"/>
          <w:bCs/>
          <w:i/>
          <w:iCs/>
        </w:rPr>
        <w:t>(</w:t>
      </w:r>
      <w:r w:rsidRPr="0040726C">
        <w:rPr>
          <w:rFonts w:ascii="Times New Roman" w:hAnsi="Times New Roman" w:cs="Times New Roman"/>
          <w:bCs/>
          <w:i/>
          <w:iCs/>
        </w:rPr>
        <w:t>zamieszczone na końcu programu studió</w:t>
      </w:r>
      <w:r w:rsidRPr="00C50916">
        <w:rPr>
          <w:rFonts w:ascii="Times New Roman" w:hAnsi="Times New Roman" w:cs="Times New Roman"/>
          <w:bCs/>
          <w:i/>
          <w:iCs/>
        </w:rPr>
        <w:t>w</w:t>
      </w:r>
      <w:r w:rsidR="0040726C" w:rsidRPr="00C50916">
        <w:rPr>
          <w:rFonts w:ascii="Times New Roman" w:hAnsi="Times New Roman" w:cs="Times New Roman"/>
          <w:bCs/>
        </w:rPr>
        <w:t>)</w:t>
      </w:r>
    </w:p>
    <w:p w14:paraId="1731C831" w14:textId="6D130084" w:rsidR="00FF767B" w:rsidRPr="00134A16" w:rsidRDefault="00FF767B" w:rsidP="009C36FF">
      <w:pPr>
        <w:pStyle w:val="Akapitzlist"/>
        <w:numPr>
          <w:ilvl w:val="0"/>
          <w:numId w:val="42"/>
        </w:numPr>
        <w:tabs>
          <w:tab w:val="left" w:pos="0"/>
          <w:tab w:val="left" w:pos="426"/>
        </w:tabs>
        <w:spacing w:before="360" w:after="120"/>
        <w:rPr>
          <w:rFonts w:ascii="Times New Roman" w:hAnsi="Times New Roman" w:cs="Times New Roman"/>
          <w:b/>
        </w:rPr>
      </w:pPr>
      <w:r w:rsidRPr="00134A16">
        <w:rPr>
          <w:rFonts w:ascii="Times New Roman" w:hAnsi="Times New Roman" w:cs="Times New Roman"/>
          <w:b/>
        </w:rPr>
        <w:t>tabela określająca relacje między efektami kierunkowymi a efektami uczenia się zdefiniowanymi dla poszczególnych przedmiotów lub modułów procesu kształcenia</w:t>
      </w:r>
    </w:p>
    <w:tbl>
      <w:tblPr>
        <w:tblStyle w:val="Tabela-Siatka"/>
        <w:tblW w:w="1075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47"/>
        <w:gridCol w:w="533"/>
        <w:gridCol w:w="534"/>
        <w:gridCol w:w="534"/>
        <w:gridCol w:w="534"/>
        <w:gridCol w:w="533"/>
        <w:gridCol w:w="534"/>
        <w:gridCol w:w="534"/>
        <w:gridCol w:w="534"/>
        <w:gridCol w:w="533"/>
        <w:gridCol w:w="534"/>
        <w:gridCol w:w="534"/>
        <w:gridCol w:w="534"/>
      </w:tblGrid>
      <w:tr w:rsidR="009D7CC0" w:rsidRPr="00134A16" w14:paraId="25C865B3" w14:textId="77777777" w:rsidTr="0001783E">
        <w:trPr>
          <w:cantSplit/>
          <w:trHeight w:val="1662"/>
        </w:trPr>
        <w:tc>
          <w:tcPr>
            <w:tcW w:w="4347" w:type="dxa"/>
            <w:vAlign w:val="center"/>
          </w:tcPr>
          <w:p w14:paraId="19F2380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4A16">
              <w:rPr>
                <w:rFonts w:cs="Times New Roman"/>
                <w:sz w:val="22"/>
                <w:szCs w:val="22"/>
              </w:rPr>
              <w:t xml:space="preserve">EFEKTY UCZENIA SIĘ </w:t>
            </w:r>
          </w:p>
        </w:tc>
        <w:tc>
          <w:tcPr>
            <w:tcW w:w="533" w:type="dxa"/>
            <w:vMerge w:val="restart"/>
            <w:shd w:val="clear" w:color="auto" w:fill="F2F2F2" w:themeFill="background1" w:themeFillShade="F2"/>
            <w:textDirection w:val="btLr"/>
          </w:tcPr>
          <w:p w14:paraId="7C5C14CB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34A16">
              <w:rPr>
                <w:rFonts w:cs="Times New Roman"/>
                <w:b/>
                <w:sz w:val="22"/>
                <w:szCs w:val="22"/>
              </w:rPr>
              <w:t>WIEDZA</w:t>
            </w:r>
          </w:p>
        </w:tc>
        <w:tc>
          <w:tcPr>
            <w:tcW w:w="534" w:type="dxa"/>
            <w:vMerge w:val="restart"/>
            <w:textDirection w:val="btLr"/>
          </w:tcPr>
          <w:p w14:paraId="7396AF0C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76C65093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310E02ED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shd w:val="clear" w:color="auto" w:fill="F2F2F2" w:themeFill="background1" w:themeFillShade="F2"/>
            <w:textDirection w:val="btLr"/>
          </w:tcPr>
          <w:p w14:paraId="01930AC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34A16">
              <w:rPr>
                <w:rFonts w:cs="Times New Roman"/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534" w:type="dxa"/>
            <w:vMerge w:val="restart"/>
            <w:textDirection w:val="btLr"/>
          </w:tcPr>
          <w:p w14:paraId="01103AA0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66A5BB8E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7F191B19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vMerge w:val="restart"/>
            <w:shd w:val="clear" w:color="auto" w:fill="F2F2F2" w:themeFill="background1" w:themeFillShade="F2"/>
            <w:textDirection w:val="btLr"/>
          </w:tcPr>
          <w:p w14:paraId="01317DE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34A16">
              <w:rPr>
                <w:rFonts w:cs="Times New Roman"/>
                <w:b/>
                <w:bCs/>
                <w:sz w:val="22"/>
                <w:szCs w:val="22"/>
              </w:rPr>
              <w:t>KOMPETENCJE SPOŁECZNE</w:t>
            </w:r>
          </w:p>
        </w:tc>
        <w:tc>
          <w:tcPr>
            <w:tcW w:w="534" w:type="dxa"/>
            <w:vMerge w:val="restart"/>
            <w:textDirection w:val="btLr"/>
          </w:tcPr>
          <w:p w14:paraId="62B6D483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1B039324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extDirection w:val="btLr"/>
          </w:tcPr>
          <w:p w14:paraId="73307A15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29006B1C" w14:textId="77777777" w:rsidTr="0001783E">
        <w:trPr>
          <w:cantSplit/>
          <w:trHeight w:val="1662"/>
        </w:trPr>
        <w:tc>
          <w:tcPr>
            <w:tcW w:w="4347" w:type="dxa"/>
            <w:vAlign w:val="center"/>
          </w:tcPr>
          <w:p w14:paraId="13F2576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4A16">
              <w:rPr>
                <w:rFonts w:cs="Times New Roman"/>
                <w:sz w:val="22"/>
                <w:szCs w:val="22"/>
              </w:rPr>
              <w:t>PRZEDMIOTY</w:t>
            </w:r>
          </w:p>
        </w:tc>
        <w:tc>
          <w:tcPr>
            <w:tcW w:w="533" w:type="dxa"/>
            <w:vMerge/>
            <w:shd w:val="clear" w:color="auto" w:fill="F2F2F2" w:themeFill="background1" w:themeFillShade="F2"/>
            <w:textDirection w:val="btLr"/>
          </w:tcPr>
          <w:p w14:paraId="5310AA7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41679395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3D958F80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2DAEE935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vMerge/>
            <w:shd w:val="clear" w:color="auto" w:fill="F2F2F2" w:themeFill="background1" w:themeFillShade="F2"/>
            <w:textDirection w:val="btLr"/>
          </w:tcPr>
          <w:p w14:paraId="2A356993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5E2005A4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0D854B3C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4DA3EA6D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vMerge/>
            <w:shd w:val="clear" w:color="auto" w:fill="F2F2F2" w:themeFill="background1" w:themeFillShade="F2"/>
            <w:textDirection w:val="btLr"/>
          </w:tcPr>
          <w:p w14:paraId="2465493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5CB59E5D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3E892D27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Merge/>
            <w:textDirection w:val="btLr"/>
          </w:tcPr>
          <w:p w14:paraId="2F96031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21A460C5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1019D309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9C1CD25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E7EC3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E5DE9C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3DE2B1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2718B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FEC3A1C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7E3A4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98DDA0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1F1450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FF1461A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61B2E4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BCA798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03E384BB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3A2138D0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78D55D6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422B726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2D926C9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FB1E22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63D089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E7F8BA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E1E719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0F8B6D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708A97F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FF5AED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4201C4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24A9FD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56A05CEA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4A67AA30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05F8E360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378C4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60E492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D1A301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0B2EB84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B02240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2C40A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B873D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74216D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D7408D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7849AF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539D4AA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2B6D36B3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61197112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813A73E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503B7F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AB61CC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77BF80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79E63126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EF88980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FBFAF5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7B7880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6E98D11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8D5A4F0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72543E9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BAB0861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4AD856FE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17D8331E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C2DC151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25E1BD6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F5ED1A9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39E0FF9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1D7732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16AC6F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85FB2F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629C2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40C805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EA582F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E9D4DDC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3C0E9DA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5B74E701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688E1F6B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F584136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7CA795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D9D54A5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7C52291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0CC12B4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FF67150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C65CF71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D429E5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2E581C2C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53D7FA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3560D7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74E8C9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737E6F78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2ECF0341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6BCB20C" w14:textId="77777777" w:rsidR="009D7CC0" w:rsidRPr="00134A16" w:rsidRDefault="009D7CC0" w:rsidP="0001783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007639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68504B4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124D99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0137C91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2B31E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82658F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230C0B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735D3DE2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1C036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BB93CE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3223CA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528245A3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54873864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textDirection w:val="btLr"/>
            <w:vAlign w:val="center"/>
          </w:tcPr>
          <w:p w14:paraId="628B4073" w14:textId="77777777" w:rsidR="009D7CC0" w:rsidRPr="00134A16" w:rsidRDefault="009D7CC0" w:rsidP="0001783E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133459BE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5A6378F5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5242BEA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7B592D7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BCF0BF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10BA021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0B0D2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1051C2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C154BAC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04E0F8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E3781F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D7CC0" w:rsidRPr="00134A16" w14:paraId="4A2A1CD2" w14:textId="77777777" w:rsidTr="009D7CC0">
        <w:tblPrEx>
          <w:tblLook w:val="0480" w:firstRow="0" w:lastRow="0" w:firstColumn="1" w:lastColumn="0" w:noHBand="0" w:noVBand="1"/>
        </w:tblPrEx>
        <w:trPr>
          <w:cantSplit/>
          <w:trHeight w:val="284"/>
        </w:trPr>
        <w:tc>
          <w:tcPr>
            <w:tcW w:w="4347" w:type="dxa"/>
            <w:vAlign w:val="center"/>
          </w:tcPr>
          <w:p w14:paraId="6AB654AE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textDirection w:val="btLr"/>
            <w:vAlign w:val="center"/>
          </w:tcPr>
          <w:p w14:paraId="6FDB8893" w14:textId="77777777" w:rsidR="009D7CC0" w:rsidRPr="00134A16" w:rsidRDefault="009D7CC0" w:rsidP="0001783E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541368C9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textDirection w:val="btLr"/>
            <w:vAlign w:val="center"/>
          </w:tcPr>
          <w:p w14:paraId="07A7CAC1" w14:textId="77777777" w:rsidR="009D7CC0" w:rsidRPr="00134A16" w:rsidRDefault="009D7CC0" w:rsidP="0001783E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B19F886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E5FFF2D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3CD3AAB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350530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B8D9053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0E6B245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D51CD1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36DFBF" w14:textId="77777777" w:rsidR="009D7CC0" w:rsidRPr="00134A16" w:rsidRDefault="009D7CC0" w:rsidP="000178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2329925" w14:textId="77777777" w:rsidR="009D7CC0" w:rsidRPr="00134A16" w:rsidRDefault="009D7CC0" w:rsidP="0001783E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D07C35D" w14:textId="10A1335E" w:rsidR="00456693" w:rsidRPr="00134A16" w:rsidRDefault="00456693" w:rsidP="00EF4ACC">
      <w:pPr>
        <w:tabs>
          <w:tab w:val="left" w:pos="0"/>
          <w:tab w:val="left" w:pos="768"/>
        </w:tabs>
        <w:spacing w:before="360" w:after="120"/>
        <w:ind w:left="0"/>
        <w:rPr>
          <w:rFonts w:cs="Times New Roman"/>
          <w:b/>
          <w:sz w:val="22"/>
          <w:szCs w:val="22"/>
        </w:rPr>
      </w:pPr>
    </w:p>
    <w:p w14:paraId="548F2A25" w14:textId="0193425C" w:rsidR="00FF767B" w:rsidRPr="00134A16" w:rsidRDefault="00FF767B" w:rsidP="009C36FF">
      <w:pPr>
        <w:pStyle w:val="Akapitzlist"/>
        <w:numPr>
          <w:ilvl w:val="0"/>
          <w:numId w:val="42"/>
        </w:numPr>
        <w:tabs>
          <w:tab w:val="left" w:pos="0"/>
          <w:tab w:val="left" w:pos="426"/>
        </w:tabs>
        <w:spacing w:before="360" w:after="120"/>
        <w:rPr>
          <w:rFonts w:ascii="Times New Roman" w:hAnsi="Times New Roman" w:cs="Times New Roman"/>
          <w:b/>
        </w:rPr>
      </w:pPr>
      <w:r w:rsidRPr="00134A16">
        <w:rPr>
          <w:rFonts w:ascii="Times New Roman" w:hAnsi="Times New Roman" w:cs="Times New Roman"/>
          <w:b/>
        </w:rPr>
        <w:t>określenie wymiaru, zasad i formy odbywania praktyk zawodowych</w:t>
      </w:r>
      <w:r w:rsidR="00EF4ACC" w:rsidRPr="00134A16">
        <w:rPr>
          <w:rFonts w:ascii="Times New Roman" w:hAnsi="Times New Roman" w:cs="Times New Roman"/>
          <w:bCs/>
          <w:i/>
          <w:iCs/>
        </w:rPr>
        <w:t xml:space="preserve"> </w:t>
      </w:r>
      <w:r w:rsidR="00134A16" w:rsidRPr="00134A16">
        <w:rPr>
          <w:rFonts w:ascii="Times New Roman" w:hAnsi="Times New Roman" w:cs="Times New Roman"/>
          <w:bCs/>
          <w:i/>
          <w:iCs/>
        </w:rPr>
        <w:t>–</w:t>
      </w:r>
      <w:r w:rsidR="00EF4ACC" w:rsidRPr="00134A16">
        <w:rPr>
          <w:rFonts w:ascii="Times New Roman" w:hAnsi="Times New Roman" w:cs="Times New Roman"/>
          <w:bCs/>
          <w:i/>
          <w:iCs/>
        </w:rPr>
        <w:t xml:space="preserve"> </w:t>
      </w:r>
      <w:r w:rsidR="00134A16" w:rsidRPr="00134A16">
        <w:rPr>
          <w:rFonts w:ascii="Times New Roman" w:hAnsi="Times New Roman" w:cs="Times New Roman"/>
          <w:b/>
          <w:i/>
          <w:iCs/>
        </w:rPr>
        <w:t>profil praktyczny</w:t>
      </w:r>
      <w:r w:rsidR="00134A16" w:rsidRPr="00134A16">
        <w:rPr>
          <w:rFonts w:ascii="Times New Roman" w:hAnsi="Times New Roman" w:cs="Times New Roman"/>
          <w:bCs/>
          <w:i/>
          <w:iCs/>
        </w:rPr>
        <w:t xml:space="preserve"> – co najmniej 6 miesięcy </w:t>
      </w:r>
      <w:r w:rsidR="003F0E63">
        <w:rPr>
          <w:rFonts w:ascii="Times New Roman" w:hAnsi="Times New Roman" w:cs="Times New Roman"/>
          <w:bCs/>
          <w:i/>
          <w:iCs/>
        </w:rPr>
        <w:t xml:space="preserve">(720 h) </w:t>
      </w:r>
      <w:r w:rsidR="00134A16" w:rsidRPr="00134A16">
        <w:rPr>
          <w:rFonts w:ascii="Times New Roman" w:hAnsi="Times New Roman" w:cs="Times New Roman"/>
          <w:bCs/>
          <w:i/>
          <w:iCs/>
        </w:rPr>
        <w:t>na studiach I stopnia i jednolitych studiach magisterskich, oraz co najmniej 3 miesiące</w:t>
      </w:r>
      <w:r w:rsidR="00273B23">
        <w:rPr>
          <w:rFonts w:ascii="Times New Roman" w:hAnsi="Times New Roman" w:cs="Times New Roman"/>
          <w:bCs/>
          <w:i/>
          <w:iCs/>
        </w:rPr>
        <w:t xml:space="preserve"> (360</w:t>
      </w:r>
      <w:r w:rsidR="00D001FC">
        <w:rPr>
          <w:rFonts w:ascii="Times New Roman" w:hAnsi="Times New Roman" w:cs="Times New Roman"/>
          <w:bCs/>
          <w:i/>
          <w:iCs/>
        </w:rPr>
        <w:t xml:space="preserve"> h)</w:t>
      </w:r>
      <w:r w:rsidR="00134A16" w:rsidRPr="00134A16">
        <w:rPr>
          <w:rFonts w:ascii="Times New Roman" w:hAnsi="Times New Roman" w:cs="Times New Roman"/>
          <w:bCs/>
          <w:i/>
          <w:iCs/>
        </w:rPr>
        <w:t xml:space="preserve"> na studiach II stopnia; </w:t>
      </w:r>
      <w:r w:rsidR="00134A16" w:rsidRPr="00134A16">
        <w:rPr>
          <w:rFonts w:ascii="Times New Roman" w:hAnsi="Times New Roman" w:cs="Times New Roman"/>
          <w:b/>
          <w:i/>
          <w:iCs/>
        </w:rPr>
        <w:t>profil ogólnoakademicki</w:t>
      </w:r>
      <w:r w:rsidR="00134A16" w:rsidRPr="00134A16">
        <w:rPr>
          <w:rFonts w:ascii="Times New Roman" w:hAnsi="Times New Roman" w:cs="Times New Roman"/>
          <w:bCs/>
          <w:i/>
          <w:iCs/>
        </w:rPr>
        <w:t xml:space="preserve"> – o ile program przewiduje praktyki – w wymiarze pozwalającym na realizację co najmniej 1 punktu ECTS</w:t>
      </w:r>
    </w:p>
    <w:p w14:paraId="54719340" w14:textId="7456B5F7" w:rsidR="00FF767B" w:rsidRPr="00377A9A" w:rsidRDefault="00FF767B" w:rsidP="009C36FF">
      <w:pPr>
        <w:pStyle w:val="Akapitzlist"/>
        <w:numPr>
          <w:ilvl w:val="0"/>
          <w:numId w:val="42"/>
        </w:numPr>
        <w:tabs>
          <w:tab w:val="left" w:pos="0"/>
          <w:tab w:val="left" w:pos="426"/>
        </w:tabs>
        <w:spacing w:before="360" w:after="120"/>
        <w:rPr>
          <w:rFonts w:ascii="Times New Roman" w:hAnsi="Times New Roman" w:cs="Times New Roman"/>
          <w:bCs/>
          <w:i/>
          <w:iCs/>
        </w:rPr>
      </w:pPr>
      <w:r w:rsidRPr="00134A16">
        <w:rPr>
          <w:rFonts w:ascii="Times New Roman" w:hAnsi="Times New Roman" w:cs="Times New Roman"/>
          <w:b/>
        </w:rPr>
        <w:t>wskazanie zajęć przygotowujących studentów do prowadzenia badań na studiach I stopnia; wskazanie zajęć zapewniających studentom udział w badaniach na studiach II stopnia i jednolitych studiach magisterskich</w:t>
      </w:r>
      <w:r w:rsidR="008A6CFD">
        <w:rPr>
          <w:rFonts w:ascii="Times New Roman" w:hAnsi="Times New Roman" w:cs="Times New Roman"/>
          <w:b/>
        </w:rPr>
        <w:t xml:space="preserve"> </w:t>
      </w:r>
      <w:r w:rsidR="008A6CFD" w:rsidRPr="00377A9A">
        <w:rPr>
          <w:rFonts w:ascii="Times New Roman" w:hAnsi="Times New Roman" w:cs="Times New Roman"/>
          <w:bCs/>
          <w:i/>
          <w:iCs/>
        </w:rPr>
        <w:t>– dotyczy profilu ogólnoakademickiego</w:t>
      </w:r>
    </w:p>
    <w:p w14:paraId="1DFF15A0" w14:textId="24E8A4C5" w:rsidR="00B167E4" w:rsidRPr="00673E33" w:rsidRDefault="00B167E4" w:rsidP="009C36FF">
      <w:pPr>
        <w:pStyle w:val="Akapitzlist"/>
        <w:numPr>
          <w:ilvl w:val="0"/>
          <w:numId w:val="42"/>
        </w:numPr>
        <w:tabs>
          <w:tab w:val="left" w:pos="0"/>
          <w:tab w:val="left" w:pos="426"/>
        </w:tabs>
        <w:spacing w:before="360" w:after="120"/>
        <w:rPr>
          <w:rFonts w:ascii="Times New Roman" w:hAnsi="Times New Roman" w:cs="Times New Roman"/>
          <w:bCs/>
          <w:i/>
          <w:iCs/>
        </w:rPr>
      </w:pPr>
      <w:r w:rsidRPr="00134A16">
        <w:rPr>
          <w:rFonts w:ascii="Times New Roman" w:hAnsi="Times New Roman" w:cs="Times New Roman"/>
          <w:b/>
        </w:rPr>
        <w:t>wykaz i wymiar szkoleń obowiązkowych, w tym szkolenia bhp oraz z zakresu własności intelektualnej i prawa autorskiego</w:t>
      </w:r>
      <w:r w:rsidR="00377A9A">
        <w:rPr>
          <w:rFonts w:ascii="Times New Roman" w:hAnsi="Times New Roman" w:cs="Times New Roman"/>
          <w:b/>
        </w:rPr>
        <w:t xml:space="preserve"> </w:t>
      </w:r>
      <w:r w:rsidR="00286753" w:rsidRPr="00673E33">
        <w:rPr>
          <w:rFonts w:ascii="Times New Roman" w:hAnsi="Times New Roman" w:cs="Times New Roman"/>
          <w:bCs/>
          <w:i/>
          <w:iCs/>
        </w:rPr>
        <w:t xml:space="preserve">jeśli program studiów przewiduje – </w:t>
      </w:r>
      <w:r w:rsidR="00C441F7" w:rsidRPr="00673E33">
        <w:rPr>
          <w:rFonts w:ascii="Times New Roman" w:hAnsi="Times New Roman" w:cs="Times New Roman"/>
          <w:bCs/>
          <w:i/>
          <w:iCs/>
        </w:rPr>
        <w:t>należy wskazać</w:t>
      </w:r>
      <w:r w:rsidR="00286753" w:rsidRPr="00673E33">
        <w:rPr>
          <w:rFonts w:ascii="Times New Roman" w:hAnsi="Times New Roman" w:cs="Times New Roman"/>
          <w:bCs/>
          <w:i/>
          <w:iCs/>
        </w:rPr>
        <w:t xml:space="preserve"> również szkolenie </w:t>
      </w:r>
      <w:r w:rsidR="00C441F7" w:rsidRPr="00673E33">
        <w:rPr>
          <w:rFonts w:ascii="Times New Roman" w:hAnsi="Times New Roman" w:cs="Times New Roman"/>
          <w:bCs/>
          <w:i/>
          <w:iCs/>
        </w:rPr>
        <w:t>biblioteczne</w:t>
      </w:r>
    </w:p>
    <w:p w14:paraId="3BC7F637" w14:textId="77777777" w:rsidR="00377A9A" w:rsidRDefault="00377A9A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2E81A397" w14:textId="77777777" w:rsidR="00377A9A" w:rsidRDefault="00377A9A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10807FC4" w14:textId="77777777" w:rsidR="00377A9A" w:rsidRDefault="00377A9A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4A83143D" w14:textId="4D4D1FB6" w:rsidR="00377A9A" w:rsidRPr="004871E6" w:rsidRDefault="004871E6" w:rsidP="00377A9A">
      <w:pPr>
        <w:suppressAutoHyphens w:val="0"/>
        <w:ind w:left="0"/>
        <w:rPr>
          <w:rFonts w:cs="Times New Roman"/>
          <w:i/>
          <w:iCs/>
          <w:sz w:val="22"/>
          <w:szCs w:val="22"/>
        </w:rPr>
      </w:pPr>
      <w:r w:rsidRPr="004871E6">
        <w:rPr>
          <w:rFonts w:cs="Times New Roman"/>
          <w:b/>
          <w:bCs/>
          <w:sz w:val="22"/>
          <w:szCs w:val="22"/>
        </w:rPr>
        <w:lastRenderedPageBreak/>
        <w:t>Sylabusy przedmiotów</w:t>
      </w:r>
      <w:r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i/>
          <w:iCs/>
          <w:sz w:val="22"/>
          <w:szCs w:val="22"/>
        </w:rPr>
        <w:t>w zakresie wynikającym z Zarządzenia nr 64 Rektora UŁ z dnia 10.02.2022 r. w sprawie opisu przedmiotów w Uniwersytecie Łódzkim (sylabus) oraz weryfikacji efektów uczenia się i zadań koordynatora przedmiotu, czyli w zakresie określonym w § 2 ust. 1 pkt 1-9</w:t>
      </w:r>
    </w:p>
    <w:p w14:paraId="575FB15C" w14:textId="0D23F19D" w:rsidR="004871E6" w:rsidRDefault="004871E6" w:rsidP="00377A9A">
      <w:pPr>
        <w:suppressAutoHyphens w:val="0"/>
        <w:ind w:left="0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4871E6" w14:paraId="0789ADAF" w14:textId="77777777" w:rsidTr="004871E6">
        <w:tc>
          <w:tcPr>
            <w:tcW w:w="4529" w:type="dxa"/>
          </w:tcPr>
          <w:p w14:paraId="39858F0A" w14:textId="788DB89E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przedmiotu</w:t>
            </w:r>
          </w:p>
        </w:tc>
        <w:tc>
          <w:tcPr>
            <w:tcW w:w="4530" w:type="dxa"/>
          </w:tcPr>
          <w:p w14:paraId="53CD56D9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1CB2C8FD" w14:textId="77777777" w:rsidTr="004871E6">
        <w:tc>
          <w:tcPr>
            <w:tcW w:w="4529" w:type="dxa"/>
          </w:tcPr>
          <w:p w14:paraId="47D8C6CD" w14:textId="54601249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godzin poszczególnych form zajęć przedmiotu</w:t>
            </w:r>
          </w:p>
        </w:tc>
        <w:tc>
          <w:tcPr>
            <w:tcW w:w="4530" w:type="dxa"/>
          </w:tcPr>
          <w:p w14:paraId="624F7119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5051781B" w14:textId="77777777" w:rsidTr="004871E6">
        <w:tc>
          <w:tcPr>
            <w:tcW w:w="4529" w:type="dxa"/>
          </w:tcPr>
          <w:p w14:paraId="11D563E3" w14:textId="10F5CB00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Forma zaliczenia (egzamin, zaliczenie, zaliczenie na ocenę)</w:t>
            </w:r>
          </w:p>
        </w:tc>
        <w:tc>
          <w:tcPr>
            <w:tcW w:w="4530" w:type="dxa"/>
          </w:tcPr>
          <w:p w14:paraId="4265A400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65A04494" w14:textId="77777777" w:rsidTr="004871E6">
        <w:tc>
          <w:tcPr>
            <w:tcW w:w="4529" w:type="dxa"/>
          </w:tcPr>
          <w:p w14:paraId="6079710F" w14:textId="637208F3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Forma prowadzenia zajęć (stacjonarna, zdalna, hybrydowa)</w:t>
            </w:r>
          </w:p>
        </w:tc>
        <w:tc>
          <w:tcPr>
            <w:tcW w:w="4530" w:type="dxa"/>
          </w:tcPr>
          <w:p w14:paraId="2DF330B4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6FD34766" w14:textId="77777777" w:rsidTr="004871E6">
        <w:tc>
          <w:tcPr>
            <w:tcW w:w="4529" w:type="dxa"/>
          </w:tcPr>
          <w:p w14:paraId="5073BDC7" w14:textId="2735CD0C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Język wykładowy</w:t>
            </w:r>
          </w:p>
        </w:tc>
        <w:tc>
          <w:tcPr>
            <w:tcW w:w="4530" w:type="dxa"/>
          </w:tcPr>
          <w:p w14:paraId="0344573C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6BA88415" w14:textId="77777777" w:rsidTr="004871E6">
        <w:tc>
          <w:tcPr>
            <w:tcW w:w="4529" w:type="dxa"/>
          </w:tcPr>
          <w:p w14:paraId="17671383" w14:textId="22B4E385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Punkty ECTS</w:t>
            </w:r>
          </w:p>
        </w:tc>
        <w:tc>
          <w:tcPr>
            <w:tcW w:w="4530" w:type="dxa"/>
          </w:tcPr>
          <w:p w14:paraId="686451F1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B9409F" w14:paraId="081197AB" w14:textId="77777777" w:rsidTr="004871E6">
        <w:tc>
          <w:tcPr>
            <w:tcW w:w="4529" w:type="dxa"/>
          </w:tcPr>
          <w:p w14:paraId="6CFAC9F5" w14:textId="330B39EA" w:rsidR="00B9409F" w:rsidRDefault="00B9409F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Skrócony opis, stanowiący przybliżenie celów przedmiotu</w:t>
            </w:r>
          </w:p>
        </w:tc>
        <w:tc>
          <w:tcPr>
            <w:tcW w:w="4530" w:type="dxa"/>
          </w:tcPr>
          <w:p w14:paraId="6C22A49A" w14:textId="77777777" w:rsidR="00B9409F" w:rsidRDefault="00B9409F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606CB731" w14:textId="77777777" w:rsidTr="004871E6">
        <w:tc>
          <w:tcPr>
            <w:tcW w:w="4529" w:type="dxa"/>
          </w:tcPr>
          <w:p w14:paraId="3AE00B4C" w14:textId="5FD31F5B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Wymagania wstępne, </w:t>
            </w:r>
            <w:r w:rsidR="00B9409F">
              <w:rPr>
                <w:rFonts w:cs="Times New Roman"/>
                <w:sz w:val="22"/>
                <w:szCs w:val="22"/>
              </w:rPr>
              <w:t>stanowiące określenie wiedzy i umiejętności, jakie musi posiadać student zapisujący się na dany przedmiot</w:t>
            </w:r>
          </w:p>
        </w:tc>
        <w:tc>
          <w:tcPr>
            <w:tcW w:w="4530" w:type="dxa"/>
          </w:tcPr>
          <w:p w14:paraId="401E2B37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4871E6" w14:paraId="3EB46EB7" w14:textId="77777777" w:rsidTr="004871E6">
        <w:tc>
          <w:tcPr>
            <w:tcW w:w="4529" w:type="dxa"/>
          </w:tcPr>
          <w:p w14:paraId="45BCC750" w14:textId="1DACD11A" w:rsidR="004871E6" w:rsidRDefault="00B9409F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Przedmiotowe efekty uczenia się określające jaką wiedzę, umiejętności i/lub kompetencje będzie posiadał każdy student uzyskujący punkty ECTS z danego przedmiotu wraz ze wskazaniem realizowanych w ramach przedmiotu kierunkowych oraz ewentualnie specjalnościowych efektów uczenia się (kody efektów, do których przyporządkowany został przedmiot w macierzy kompetencji zawartej w programie studiów)</w:t>
            </w:r>
          </w:p>
        </w:tc>
        <w:tc>
          <w:tcPr>
            <w:tcW w:w="4530" w:type="dxa"/>
          </w:tcPr>
          <w:p w14:paraId="76373335" w14:textId="77777777" w:rsidR="004871E6" w:rsidRDefault="004871E6" w:rsidP="00377A9A">
            <w:pPr>
              <w:suppressAutoHyphens w:val="0"/>
              <w:ind w:left="0"/>
              <w:rPr>
                <w:rFonts w:cs="Times New Roman"/>
                <w:sz w:val="22"/>
                <w:szCs w:val="22"/>
              </w:rPr>
            </w:pPr>
          </w:p>
        </w:tc>
      </w:tr>
    </w:tbl>
    <w:p w14:paraId="36F8C9AF" w14:textId="77777777" w:rsidR="004871E6" w:rsidRDefault="004871E6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67EB717D" w14:textId="77777777" w:rsidR="00377A9A" w:rsidRDefault="00377A9A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63B06C79" w14:textId="77777777" w:rsidR="00377A9A" w:rsidRDefault="00377A9A" w:rsidP="00377A9A">
      <w:pPr>
        <w:suppressAutoHyphens w:val="0"/>
        <w:ind w:left="0"/>
        <w:rPr>
          <w:rFonts w:cs="Times New Roman"/>
          <w:sz w:val="22"/>
          <w:szCs w:val="22"/>
        </w:rPr>
      </w:pPr>
    </w:p>
    <w:p w14:paraId="40EEFC5D" w14:textId="7704778C" w:rsidR="00DC2DE8" w:rsidRPr="00134A16" w:rsidRDefault="00DC2DE8" w:rsidP="00377A9A">
      <w:pPr>
        <w:suppressAutoHyphens w:val="0"/>
        <w:ind w:left="0"/>
        <w:rPr>
          <w:rFonts w:cs="Times New Roman"/>
          <w:sz w:val="22"/>
          <w:szCs w:val="22"/>
        </w:rPr>
      </w:pPr>
    </w:p>
    <w:sectPr w:rsidR="00DC2DE8" w:rsidRPr="00134A16" w:rsidSect="00A236F7">
      <w:headerReference w:type="default" r:id="rId8"/>
      <w:footerReference w:type="default" r:id="rId9"/>
      <w:headerReference w:type="first" r:id="rId10"/>
      <w:pgSz w:w="11905" w:h="16837" w:code="9"/>
      <w:pgMar w:top="1134" w:right="1418" w:bottom="1134" w:left="1418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1D0" w14:textId="77777777" w:rsidR="009910B4" w:rsidRDefault="009910B4">
      <w:r>
        <w:separator/>
      </w:r>
    </w:p>
  </w:endnote>
  <w:endnote w:type="continuationSeparator" w:id="0">
    <w:p w14:paraId="212CBBA5" w14:textId="77777777" w:rsidR="009910B4" w:rsidRDefault="009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103A" w14:textId="77777777" w:rsidR="00FF767B" w:rsidRDefault="00FF767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F95B5C" w14:textId="77777777" w:rsidR="00FF767B" w:rsidRDefault="00FF7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A0C7" w14:textId="77777777" w:rsidR="009910B4" w:rsidRDefault="009910B4">
      <w:r>
        <w:separator/>
      </w:r>
    </w:p>
  </w:footnote>
  <w:footnote w:type="continuationSeparator" w:id="0">
    <w:p w14:paraId="498E25FC" w14:textId="77777777" w:rsidR="009910B4" w:rsidRDefault="0099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C6C" w14:textId="0296AAF2" w:rsidR="00FF767B" w:rsidRPr="00FC1459" w:rsidRDefault="00FF767B" w:rsidP="00516101">
    <w:pPr>
      <w:pStyle w:val="Nagwek"/>
      <w:ind w:left="0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7D26" w14:textId="6032CBEF" w:rsidR="00FF767B" w:rsidRDefault="00FF767B" w:rsidP="00E6504C">
    <w:pPr>
      <w:pStyle w:val="Nagwek"/>
      <w:jc w:val="center"/>
    </w:pPr>
    <w:r>
      <w:t>STRONA TYTUŁOWA</w:t>
    </w:r>
  </w:p>
  <w:p w14:paraId="6D6EC750" w14:textId="77777777" w:rsidR="00FF767B" w:rsidRDefault="00FF7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7244FBBA"/>
    <w:name w:val="WW8Num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27C7C95"/>
    <w:multiLevelType w:val="hybridMultilevel"/>
    <w:tmpl w:val="64CA2C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2125E0"/>
    <w:multiLevelType w:val="hybridMultilevel"/>
    <w:tmpl w:val="398E84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C269F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7746"/>
    <w:multiLevelType w:val="multilevel"/>
    <w:tmpl w:val="124C69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E183731"/>
    <w:multiLevelType w:val="hybridMultilevel"/>
    <w:tmpl w:val="43E413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17203"/>
    <w:multiLevelType w:val="multilevel"/>
    <w:tmpl w:val="39DC24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D7B8B"/>
    <w:multiLevelType w:val="hybridMultilevel"/>
    <w:tmpl w:val="FA02E942"/>
    <w:lvl w:ilvl="0" w:tplc="2CBEF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D2999"/>
    <w:multiLevelType w:val="hybridMultilevel"/>
    <w:tmpl w:val="528E7A20"/>
    <w:lvl w:ilvl="0" w:tplc="35681F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5923F7"/>
    <w:multiLevelType w:val="multilevel"/>
    <w:tmpl w:val="265C20F8"/>
    <w:lvl w:ilvl="0">
      <w:start w:val="1"/>
      <w:numFmt w:val="bullet"/>
      <w:lvlText w:val=""/>
      <w:lvlJc w:val="left"/>
      <w:pPr>
        <w:tabs>
          <w:tab w:val="num" w:pos="425"/>
        </w:tabs>
        <w:ind w:left="425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425"/>
        </w:tabs>
        <w:ind w:left="425" w:firstLine="0"/>
      </w:pPr>
    </w:lvl>
    <w:lvl w:ilvl="2">
      <w:start w:val="1"/>
      <w:numFmt w:val="lowerLetter"/>
      <w:suff w:val="nothing"/>
      <w:lvlText w:val="%3."/>
      <w:lvlJc w:val="left"/>
      <w:pPr>
        <w:tabs>
          <w:tab w:val="num" w:pos="425"/>
        </w:tabs>
        <w:ind w:left="425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425"/>
        </w:tabs>
        <w:ind w:left="425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425"/>
        </w:tabs>
        <w:ind w:left="425" w:firstLine="0"/>
      </w:pPr>
    </w:lvl>
    <w:lvl w:ilvl="5">
      <w:start w:val="1"/>
      <w:numFmt w:val="lowerLetter"/>
      <w:suff w:val="nothing"/>
      <w:lvlText w:val="%6."/>
      <w:lvlJc w:val="left"/>
      <w:pPr>
        <w:tabs>
          <w:tab w:val="num" w:pos="425"/>
        </w:tabs>
        <w:ind w:left="425" w:firstLine="0"/>
      </w:pPr>
    </w:lvl>
    <w:lvl w:ilvl="6">
      <w:start w:val="1"/>
      <w:numFmt w:val="lowerLetter"/>
      <w:suff w:val="nothing"/>
      <w:lvlText w:val="%7."/>
      <w:lvlJc w:val="left"/>
      <w:pPr>
        <w:tabs>
          <w:tab w:val="num" w:pos="425"/>
        </w:tabs>
        <w:ind w:left="42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425"/>
        </w:tabs>
        <w:ind w:left="425" w:firstLine="0"/>
      </w:pPr>
    </w:lvl>
    <w:lvl w:ilvl="8">
      <w:start w:val="1"/>
      <w:numFmt w:val="lowerLetter"/>
      <w:suff w:val="nothing"/>
      <w:lvlText w:val="%9."/>
      <w:lvlJc w:val="left"/>
      <w:pPr>
        <w:tabs>
          <w:tab w:val="num" w:pos="425"/>
        </w:tabs>
        <w:ind w:left="425" w:firstLine="0"/>
      </w:pPr>
    </w:lvl>
  </w:abstractNum>
  <w:abstractNum w:abstractNumId="18" w15:restartNumberingAfterBreak="0">
    <w:nsid w:val="2D2927B1"/>
    <w:multiLevelType w:val="hybridMultilevel"/>
    <w:tmpl w:val="980A1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3EFC"/>
    <w:multiLevelType w:val="hybridMultilevel"/>
    <w:tmpl w:val="0226DCF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DD17B7"/>
    <w:multiLevelType w:val="hybridMultilevel"/>
    <w:tmpl w:val="D646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564E0"/>
    <w:multiLevelType w:val="hybridMultilevel"/>
    <w:tmpl w:val="69CE5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276C4"/>
    <w:multiLevelType w:val="hybridMultilevel"/>
    <w:tmpl w:val="9836DB46"/>
    <w:lvl w:ilvl="0" w:tplc="A21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34C"/>
    <w:multiLevelType w:val="hybridMultilevel"/>
    <w:tmpl w:val="9F0E81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182B"/>
    <w:multiLevelType w:val="hybridMultilevel"/>
    <w:tmpl w:val="C6C89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6497"/>
    <w:multiLevelType w:val="hybridMultilevel"/>
    <w:tmpl w:val="91865E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CB77D2"/>
    <w:multiLevelType w:val="hybridMultilevel"/>
    <w:tmpl w:val="5560D9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4459A"/>
    <w:multiLevelType w:val="multilevel"/>
    <w:tmpl w:val="E6D4ED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937F11"/>
    <w:multiLevelType w:val="multilevel"/>
    <w:tmpl w:val="FC68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B460C02"/>
    <w:multiLevelType w:val="multilevel"/>
    <w:tmpl w:val="40A44BB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1B31019"/>
    <w:multiLevelType w:val="hybridMultilevel"/>
    <w:tmpl w:val="7A88187C"/>
    <w:name w:val="WW8Num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07E8F"/>
    <w:multiLevelType w:val="multilevel"/>
    <w:tmpl w:val="A17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EB0BCF"/>
    <w:multiLevelType w:val="multilevel"/>
    <w:tmpl w:val="4C780908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C225E8D"/>
    <w:multiLevelType w:val="hybridMultilevel"/>
    <w:tmpl w:val="153860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6570F"/>
    <w:multiLevelType w:val="hybridMultilevel"/>
    <w:tmpl w:val="4140AB42"/>
    <w:lvl w:ilvl="0" w:tplc="9E70C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546F6"/>
    <w:multiLevelType w:val="hybridMultilevel"/>
    <w:tmpl w:val="1A7E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0A7B"/>
    <w:multiLevelType w:val="hybridMultilevel"/>
    <w:tmpl w:val="7918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71CC5"/>
    <w:multiLevelType w:val="hybridMultilevel"/>
    <w:tmpl w:val="558EB17A"/>
    <w:lvl w:ilvl="0" w:tplc="02583D3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880412"/>
    <w:multiLevelType w:val="hybridMultilevel"/>
    <w:tmpl w:val="E06A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A5D82"/>
    <w:multiLevelType w:val="hybridMultilevel"/>
    <w:tmpl w:val="3FCA9966"/>
    <w:lvl w:ilvl="0" w:tplc="3D1A5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041F38"/>
    <w:multiLevelType w:val="hybridMultilevel"/>
    <w:tmpl w:val="DFE4C59C"/>
    <w:lvl w:ilvl="0" w:tplc="04150005">
      <w:start w:val="1"/>
      <w:numFmt w:val="bullet"/>
      <w:lvlText w:val=""/>
      <w:lvlJc w:val="left"/>
      <w:pPr>
        <w:ind w:left="-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0"/>
  </w:num>
  <w:num w:numId="12">
    <w:abstractNumId w:val="29"/>
  </w:num>
  <w:num w:numId="13">
    <w:abstractNumId w:val="35"/>
  </w:num>
  <w:num w:numId="14">
    <w:abstractNumId w:val="19"/>
  </w:num>
  <w:num w:numId="15">
    <w:abstractNumId w:val="32"/>
  </w:num>
  <w:num w:numId="16">
    <w:abstractNumId w:val="10"/>
  </w:num>
  <w:num w:numId="17">
    <w:abstractNumId w:val="23"/>
  </w:num>
  <w:num w:numId="18">
    <w:abstractNumId w:val="31"/>
  </w:num>
  <w:num w:numId="19">
    <w:abstractNumId w:val="37"/>
  </w:num>
  <w:num w:numId="20">
    <w:abstractNumId w:val="25"/>
  </w:num>
  <w:num w:numId="21">
    <w:abstractNumId w:val="33"/>
  </w:num>
  <w:num w:numId="22">
    <w:abstractNumId w:val="14"/>
  </w:num>
  <w:num w:numId="23">
    <w:abstractNumId w:val="36"/>
  </w:num>
  <w:num w:numId="24">
    <w:abstractNumId w:val="12"/>
  </w:num>
  <w:num w:numId="25">
    <w:abstractNumId w:val="34"/>
  </w:num>
  <w:num w:numId="26">
    <w:abstractNumId w:val="21"/>
  </w:num>
  <w:num w:numId="27">
    <w:abstractNumId w:val="22"/>
  </w:num>
  <w:num w:numId="28">
    <w:abstractNumId w:val="40"/>
  </w:num>
  <w:num w:numId="29">
    <w:abstractNumId w:val="24"/>
  </w:num>
  <w:num w:numId="30">
    <w:abstractNumId w:val="13"/>
  </w:num>
  <w:num w:numId="31">
    <w:abstractNumId w:val="20"/>
  </w:num>
  <w:num w:numId="32">
    <w:abstractNumId w:val="27"/>
  </w:num>
  <w:num w:numId="33">
    <w:abstractNumId w:val="17"/>
  </w:num>
  <w:num w:numId="34">
    <w:abstractNumId w:val="39"/>
  </w:num>
  <w:num w:numId="35">
    <w:abstractNumId w:val="28"/>
  </w:num>
  <w:num w:numId="36">
    <w:abstractNumId w:val="38"/>
  </w:num>
  <w:num w:numId="37">
    <w:abstractNumId w:val="11"/>
  </w:num>
  <w:num w:numId="38">
    <w:abstractNumId w:val="26"/>
  </w:num>
  <w:num w:numId="39">
    <w:abstractNumId w:val="5"/>
  </w:num>
  <w:num w:numId="40">
    <w:abstractNumId w:val="16"/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1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01"/>
    <w:rsid w:val="00003251"/>
    <w:rsid w:val="00005A58"/>
    <w:rsid w:val="000075CB"/>
    <w:rsid w:val="000078C1"/>
    <w:rsid w:val="00007E17"/>
    <w:rsid w:val="00011363"/>
    <w:rsid w:val="00011AD1"/>
    <w:rsid w:val="00013575"/>
    <w:rsid w:val="000166EF"/>
    <w:rsid w:val="00017F48"/>
    <w:rsid w:val="0002623B"/>
    <w:rsid w:val="000305FD"/>
    <w:rsid w:val="00032E8D"/>
    <w:rsid w:val="00043985"/>
    <w:rsid w:val="00043FA3"/>
    <w:rsid w:val="00045785"/>
    <w:rsid w:val="00053DD8"/>
    <w:rsid w:val="00063C44"/>
    <w:rsid w:val="00067329"/>
    <w:rsid w:val="000706DB"/>
    <w:rsid w:val="0007397F"/>
    <w:rsid w:val="00073D51"/>
    <w:rsid w:val="00076FD1"/>
    <w:rsid w:val="000840C6"/>
    <w:rsid w:val="0008413D"/>
    <w:rsid w:val="000851E7"/>
    <w:rsid w:val="00085674"/>
    <w:rsid w:val="00094638"/>
    <w:rsid w:val="00096256"/>
    <w:rsid w:val="000962C9"/>
    <w:rsid w:val="00097132"/>
    <w:rsid w:val="00097D00"/>
    <w:rsid w:val="000A324E"/>
    <w:rsid w:val="000A4D4E"/>
    <w:rsid w:val="000A5525"/>
    <w:rsid w:val="000A68D0"/>
    <w:rsid w:val="000A70DE"/>
    <w:rsid w:val="000B0571"/>
    <w:rsid w:val="000B2980"/>
    <w:rsid w:val="000C0D0D"/>
    <w:rsid w:val="000C4476"/>
    <w:rsid w:val="000C5E2F"/>
    <w:rsid w:val="000C662D"/>
    <w:rsid w:val="000C765F"/>
    <w:rsid w:val="000D0975"/>
    <w:rsid w:val="000D0FD0"/>
    <w:rsid w:val="000D1EB3"/>
    <w:rsid w:val="000D2BAD"/>
    <w:rsid w:val="000D3B8A"/>
    <w:rsid w:val="000D617B"/>
    <w:rsid w:val="000D6F9F"/>
    <w:rsid w:val="000D76A2"/>
    <w:rsid w:val="000D7F61"/>
    <w:rsid w:val="000F0254"/>
    <w:rsid w:val="000F045D"/>
    <w:rsid w:val="000F0481"/>
    <w:rsid w:val="000F1827"/>
    <w:rsid w:val="000F2980"/>
    <w:rsid w:val="000F2A45"/>
    <w:rsid w:val="000F3A34"/>
    <w:rsid w:val="000F639C"/>
    <w:rsid w:val="000F6CE3"/>
    <w:rsid w:val="001001AB"/>
    <w:rsid w:val="00101663"/>
    <w:rsid w:val="00101A8D"/>
    <w:rsid w:val="00101C83"/>
    <w:rsid w:val="00103511"/>
    <w:rsid w:val="00105F2E"/>
    <w:rsid w:val="00107381"/>
    <w:rsid w:val="00107706"/>
    <w:rsid w:val="00112D4E"/>
    <w:rsid w:val="001209F1"/>
    <w:rsid w:val="00121172"/>
    <w:rsid w:val="00127237"/>
    <w:rsid w:val="0013348B"/>
    <w:rsid w:val="00134A16"/>
    <w:rsid w:val="00136B90"/>
    <w:rsid w:val="00136FE9"/>
    <w:rsid w:val="0013751A"/>
    <w:rsid w:val="001402E8"/>
    <w:rsid w:val="001458CE"/>
    <w:rsid w:val="0014776A"/>
    <w:rsid w:val="00147F42"/>
    <w:rsid w:val="00151A6B"/>
    <w:rsid w:val="0015230D"/>
    <w:rsid w:val="001540EA"/>
    <w:rsid w:val="001541E1"/>
    <w:rsid w:val="00160FBB"/>
    <w:rsid w:val="0016301C"/>
    <w:rsid w:val="0016517F"/>
    <w:rsid w:val="00165EE3"/>
    <w:rsid w:val="00166689"/>
    <w:rsid w:val="00166B12"/>
    <w:rsid w:val="00170871"/>
    <w:rsid w:val="00171089"/>
    <w:rsid w:val="00173C31"/>
    <w:rsid w:val="00174643"/>
    <w:rsid w:val="00181606"/>
    <w:rsid w:val="00181CDC"/>
    <w:rsid w:val="001830A8"/>
    <w:rsid w:val="00184B55"/>
    <w:rsid w:val="00190A09"/>
    <w:rsid w:val="00191BA1"/>
    <w:rsid w:val="0019761A"/>
    <w:rsid w:val="001A0090"/>
    <w:rsid w:val="001A10F5"/>
    <w:rsid w:val="001A278B"/>
    <w:rsid w:val="001A35AD"/>
    <w:rsid w:val="001A386F"/>
    <w:rsid w:val="001A5124"/>
    <w:rsid w:val="001A581C"/>
    <w:rsid w:val="001A5E15"/>
    <w:rsid w:val="001A712C"/>
    <w:rsid w:val="001B081C"/>
    <w:rsid w:val="001B11F0"/>
    <w:rsid w:val="001B1408"/>
    <w:rsid w:val="001B165E"/>
    <w:rsid w:val="001C0F4D"/>
    <w:rsid w:val="001C2BF4"/>
    <w:rsid w:val="001C7803"/>
    <w:rsid w:val="001D042D"/>
    <w:rsid w:val="001D328B"/>
    <w:rsid w:val="001D6A06"/>
    <w:rsid w:val="001D6BF6"/>
    <w:rsid w:val="001E0709"/>
    <w:rsid w:val="001E1254"/>
    <w:rsid w:val="001E2B46"/>
    <w:rsid w:val="001E3E52"/>
    <w:rsid w:val="001E49F8"/>
    <w:rsid w:val="001E4FA4"/>
    <w:rsid w:val="001E6CA6"/>
    <w:rsid w:val="001F2D49"/>
    <w:rsid w:val="001F68B8"/>
    <w:rsid w:val="001F750D"/>
    <w:rsid w:val="00201A14"/>
    <w:rsid w:val="00205723"/>
    <w:rsid w:val="00206BE7"/>
    <w:rsid w:val="00210E21"/>
    <w:rsid w:val="00211A57"/>
    <w:rsid w:val="00211D6A"/>
    <w:rsid w:val="00212075"/>
    <w:rsid w:val="002159D5"/>
    <w:rsid w:val="002166D2"/>
    <w:rsid w:val="002168E9"/>
    <w:rsid w:val="002245A3"/>
    <w:rsid w:val="00227F13"/>
    <w:rsid w:val="002507A5"/>
    <w:rsid w:val="00250FA4"/>
    <w:rsid w:val="00251023"/>
    <w:rsid w:val="00253A6B"/>
    <w:rsid w:val="00256217"/>
    <w:rsid w:val="0025787D"/>
    <w:rsid w:val="00260835"/>
    <w:rsid w:val="002646C4"/>
    <w:rsid w:val="00267428"/>
    <w:rsid w:val="00270914"/>
    <w:rsid w:val="00271F8C"/>
    <w:rsid w:val="00273B23"/>
    <w:rsid w:val="00274284"/>
    <w:rsid w:val="00275C01"/>
    <w:rsid w:val="002805EC"/>
    <w:rsid w:val="00282EAB"/>
    <w:rsid w:val="00283E08"/>
    <w:rsid w:val="00284B96"/>
    <w:rsid w:val="0028576A"/>
    <w:rsid w:val="00286753"/>
    <w:rsid w:val="00287B2D"/>
    <w:rsid w:val="002900CC"/>
    <w:rsid w:val="00293DBC"/>
    <w:rsid w:val="00295D3E"/>
    <w:rsid w:val="0029797D"/>
    <w:rsid w:val="002A1EE4"/>
    <w:rsid w:val="002A53FD"/>
    <w:rsid w:val="002A70BA"/>
    <w:rsid w:val="002A7AC9"/>
    <w:rsid w:val="002B0675"/>
    <w:rsid w:val="002B339C"/>
    <w:rsid w:val="002B33AC"/>
    <w:rsid w:val="002B3D83"/>
    <w:rsid w:val="002B6F42"/>
    <w:rsid w:val="002C255B"/>
    <w:rsid w:val="002C3D3E"/>
    <w:rsid w:val="002C578F"/>
    <w:rsid w:val="002C5DC4"/>
    <w:rsid w:val="002C7B92"/>
    <w:rsid w:val="002D1EE1"/>
    <w:rsid w:val="002D4A65"/>
    <w:rsid w:val="002D4CEE"/>
    <w:rsid w:val="002D5D99"/>
    <w:rsid w:val="002D6066"/>
    <w:rsid w:val="002D7705"/>
    <w:rsid w:val="002E19EF"/>
    <w:rsid w:val="002E1FF3"/>
    <w:rsid w:val="002E253F"/>
    <w:rsid w:val="002E2A4D"/>
    <w:rsid w:val="002E2DD0"/>
    <w:rsid w:val="002E3DDE"/>
    <w:rsid w:val="002F0055"/>
    <w:rsid w:val="002F1711"/>
    <w:rsid w:val="002F1EEE"/>
    <w:rsid w:val="002F1F06"/>
    <w:rsid w:val="002F79D7"/>
    <w:rsid w:val="003022D4"/>
    <w:rsid w:val="00303EF2"/>
    <w:rsid w:val="00304173"/>
    <w:rsid w:val="00304D1A"/>
    <w:rsid w:val="003057EC"/>
    <w:rsid w:val="00306A1C"/>
    <w:rsid w:val="00307503"/>
    <w:rsid w:val="0030755F"/>
    <w:rsid w:val="00322D32"/>
    <w:rsid w:val="0033128C"/>
    <w:rsid w:val="00333DAA"/>
    <w:rsid w:val="0033406A"/>
    <w:rsid w:val="00335B11"/>
    <w:rsid w:val="003373EB"/>
    <w:rsid w:val="0033791A"/>
    <w:rsid w:val="003400D1"/>
    <w:rsid w:val="0034106D"/>
    <w:rsid w:val="00342BC1"/>
    <w:rsid w:val="00342E04"/>
    <w:rsid w:val="00343DC0"/>
    <w:rsid w:val="003442D4"/>
    <w:rsid w:val="0034761D"/>
    <w:rsid w:val="00350238"/>
    <w:rsid w:val="00350580"/>
    <w:rsid w:val="0035119D"/>
    <w:rsid w:val="003521CB"/>
    <w:rsid w:val="00352A9E"/>
    <w:rsid w:val="0035603B"/>
    <w:rsid w:val="00357B9D"/>
    <w:rsid w:val="003665EE"/>
    <w:rsid w:val="00367CE1"/>
    <w:rsid w:val="003710E9"/>
    <w:rsid w:val="0037133D"/>
    <w:rsid w:val="00375610"/>
    <w:rsid w:val="00376268"/>
    <w:rsid w:val="00376A12"/>
    <w:rsid w:val="00377A9A"/>
    <w:rsid w:val="00377B59"/>
    <w:rsid w:val="00377C33"/>
    <w:rsid w:val="00384679"/>
    <w:rsid w:val="0039039B"/>
    <w:rsid w:val="00393030"/>
    <w:rsid w:val="00393416"/>
    <w:rsid w:val="00393CFA"/>
    <w:rsid w:val="003946C0"/>
    <w:rsid w:val="00396927"/>
    <w:rsid w:val="003A06A1"/>
    <w:rsid w:val="003A3AD8"/>
    <w:rsid w:val="003B0AD8"/>
    <w:rsid w:val="003B0CA2"/>
    <w:rsid w:val="003B2603"/>
    <w:rsid w:val="003B3783"/>
    <w:rsid w:val="003B6D7A"/>
    <w:rsid w:val="003C0196"/>
    <w:rsid w:val="003C339A"/>
    <w:rsid w:val="003C3F45"/>
    <w:rsid w:val="003C6709"/>
    <w:rsid w:val="003D00D9"/>
    <w:rsid w:val="003D2153"/>
    <w:rsid w:val="003D2811"/>
    <w:rsid w:val="003D49E9"/>
    <w:rsid w:val="003D4FF5"/>
    <w:rsid w:val="003D5BFD"/>
    <w:rsid w:val="003D648D"/>
    <w:rsid w:val="003D719A"/>
    <w:rsid w:val="003E1AEE"/>
    <w:rsid w:val="003E2DE9"/>
    <w:rsid w:val="003E6CDA"/>
    <w:rsid w:val="003F0E63"/>
    <w:rsid w:val="003F2104"/>
    <w:rsid w:val="003F27B4"/>
    <w:rsid w:val="003F4131"/>
    <w:rsid w:val="003F4B91"/>
    <w:rsid w:val="003F58A2"/>
    <w:rsid w:val="003F5F50"/>
    <w:rsid w:val="003F7719"/>
    <w:rsid w:val="00401401"/>
    <w:rsid w:val="00401954"/>
    <w:rsid w:val="00402B05"/>
    <w:rsid w:val="00406F2E"/>
    <w:rsid w:val="0040726C"/>
    <w:rsid w:val="0040739A"/>
    <w:rsid w:val="004112A4"/>
    <w:rsid w:val="004120E0"/>
    <w:rsid w:val="00413314"/>
    <w:rsid w:val="004149D6"/>
    <w:rsid w:val="00415662"/>
    <w:rsid w:val="00421385"/>
    <w:rsid w:val="00422E74"/>
    <w:rsid w:val="00431BF3"/>
    <w:rsid w:val="00434582"/>
    <w:rsid w:val="004354BA"/>
    <w:rsid w:val="004366DD"/>
    <w:rsid w:val="004409B4"/>
    <w:rsid w:val="00441B90"/>
    <w:rsid w:val="00444AD9"/>
    <w:rsid w:val="004450DC"/>
    <w:rsid w:val="0045118A"/>
    <w:rsid w:val="00451C24"/>
    <w:rsid w:val="00451F40"/>
    <w:rsid w:val="00453378"/>
    <w:rsid w:val="00456693"/>
    <w:rsid w:val="00457312"/>
    <w:rsid w:val="00457467"/>
    <w:rsid w:val="00461653"/>
    <w:rsid w:val="004637C8"/>
    <w:rsid w:val="00463F60"/>
    <w:rsid w:val="004641AB"/>
    <w:rsid w:val="004641AE"/>
    <w:rsid w:val="00464B9B"/>
    <w:rsid w:val="004660A9"/>
    <w:rsid w:val="004671F0"/>
    <w:rsid w:val="00467A0A"/>
    <w:rsid w:val="0047053A"/>
    <w:rsid w:val="004737BB"/>
    <w:rsid w:val="00480674"/>
    <w:rsid w:val="004809C3"/>
    <w:rsid w:val="00483A30"/>
    <w:rsid w:val="0048492F"/>
    <w:rsid w:val="00484A5F"/>
    <w:rsid w:val="004871E6"/>
    <w:rsid w:val="00487BD2"/>
    <w:rsid w:val="004912D7"/>
    <w:rsid w:val="004916B1"/>
    <w:rsid w:val="00491A69"/>
    <w:rsid w:val="0049323F"/>
    <w:rsid w:val="00497F64"/>
    <w:rsid w:val="004A5CA6"/>
    <w:rsid w:val="004A5D58"/>
    <w:rsid w:val="004A79B7"/>
    <w:rsid w:val="004A7BD4"/>
    <w:rsid w:val="004B3269"/>
    <w:rsid w:val="004B406F"/>
    <w:rsid w:val="004B47FB"/>
    <w:rsid w:val="004B4922"/>
    <w:rsid w:val="004C085E"/>
    <w:rsid w:val="004C0E4A"/>
    <w:rsid w:val="004C251A"/>
    <w:rsid w:val="004C57C8"/>
    <w:rsid w:val="004C652D"/>
    <w:rsid w:val="004C7E34"/>
    <w:rsid w:val="004D2188"/>
    <w:rsid w:val="004D230A"/>
    <w:rsid w:val="004D4748"/>
    <w:rsid w:val="004D5801"/>
    <w:rsid w:val="004D62AC"/>
    <w:rsid w:val="004D6395"/>
    <w:rsid w:val="004D73EF"/>
    <w:rsid w:val="004E10C1"/>
    <w:rsid w:val="004E1F5C"/>
    <w:rsid w:val="004E2A12"/>
    <w:rsid w:val="004F04E8"/>
    <w:rsid w:val="004F1A60"/>
    <w:rsid w:val="004F2C70"/>
    <w:rsid w:val="004F6632"/>
    <w:rsid w:val="004F7AFB"/>
    <w:rsid w:val="005039FC"/>
    <w:rsid w:val="00506A1B"/>
    <w:rsid w:val="00506D11"/>
    <w:rsid w:val="005118DD"/>
    <w:rsid w:val="00512105"/>
    <w:rsid w:val="00513E30"/>
    <w:rsid w:val="00513FCC"/>
    <w:rsid w:val="00514E5A"/>
    <w:rsid w:val="00516101"/>
    <w:rsid w:val="00520D94"/>
    <w:rsid w:val="00521538"/>
    <w:rsid w:val="00521718"/>
    <w:rsid w:val="00521DA6"/>
    <w:rsid w:val="00530ECB"/>
    <w:rsid w:val="005314CD"/>
    <w:rsid w:val="00532172"/>
    <w:rsid w:val="005358BD"/>
    <w:rsid w:val="00535D5A"/>
    <w:rsid w:val="00536C3B"/>
    <w:rsid w:val="00540577"/>
    <w:rsid w:val="00542A00"/>
    <w:rsid w:val="00544CE0"/>
    <w:rsid w:val="00546070"/>
    <w:rsid w:val="00550CE5"/>
    <w:rsid w:val="00550D1F"/>
    <w:rsid w:val="00552BE6"/>
    <w:rsid w:val="0056246F"/>
    <w:rsid w:val="005625BF"/>
    <w:rsid w:val="00562B68"/>
    <w:rsid w:val="00563A0E"/>
    <w:rsid w:val="00573345"/>
    <w:rsid w:val="00573E47"/>
    <w:rsid w:val="00575345"/>
    <w:rsid w:val="00576201"/>
    <w:rsid w:val="00577DA6"/>
    <w:rsid w:val="0058005C"/>
    <w:rsid w:val="00583489"/>
    <w:rsid w:val="00583CE3"/>
    <w:rsid w:val="00584046"/>
    <w:rsid w:val="00585371"/>
    <w:rsid w:val="00585FFB"/>
    <w:rsid w:val="00590396"/>
    <w:rsid w:val="00591777"/>
    <w:rsid w:val="00592B67"/>
    <w:rsid w:val="00595901"/>
    <w:rsid w:val="00595B13"/>
    <w:rsid w:val="0059755D"/>
    <w:rsid w:val="005A2BAE"/>
    <w:rsid w:val="005A3765"/>
    <w:rsid w:val="005A497D"/>
    <w:rsid w:val="005A6698"/>
    <w:rsid w:val="005B0CEA"/>
    <w:rsid w:val="005B2456"/>
    <w:rsid w:val="005B336A"/>
    <w:rsid w:val="005B3FAD"/>
    <w:rsid w:val="005B4DD2"/>
    <w:rsid w:val="005B5E81"/>
    <w:rsid w:val="005B618F"/>
    <w:rsid w:val="005C358A"/>
    <w:rsid w:val="005C5639"/>
    <w:rsid w:val="005C7979"/>
    <w:rsid w:val="005D3A31"/>
    <w:rsid w:val="005D41E2"/>
    <w:rsid w:val="005D4277"/>
    <w:rsid w:val="005D461E"/>
    <w:rsid w:val="005D6AE7"/>
    <w:rsid w:val="005E7118"/>
    <w:rsid w:val="005F03C8"/>
    <w:rsid w:val="005F0AF7"/>
    <w:rsid w:val="005F1039"/>
    <w:rsid w:val="005F24E6"/>
    <w:rsid w:val="005F3DFE"/>
    <w:rsid w:val="005F3EA4"/>
    <w:rsid w:val="005F4EB4"/>
    <w:rsid w:val="005F6DB7"/>
    <w:rsid w:val="005F7292"/>
    <w:rsid w:val="006013C0"/>
    <w:rsid w:val="006027CE"/>
    <w:rsid w:val="00603FB0"/>
    <w:rsid w:val="00612901"/>
    <w:rsid w:val="006164D4"/>
    <w:rsid w:val="006205B7"/>
    <w:rsid w:val="0062101D"/>
    <w:rsid w:val="00621BB8"/>
    <w:rsid w:val="00624530"/>
    <w:rsid w:val="006263F1"/>
    <w:rsid w:val="00627A77"/>
    <w:rsid w:val="00627ACF"/>
    <w:rsid w:val="0063024A"/>
    <w:rsid w:val="006308A4"/>
    <w:rsid w:val="00633199"/>
    <w:rsid w:val="00635285"/>
    <w:rsid w:val="0063545B"/>
    <w:rsid w:val="006370FC"/>
    <w:rsid w:val="00640AE8"/>
    <w:rsid w:val="00641812"/>
    <w:rsid w:val="0064186B"/>
    <w:rsid w:val="006461A2"/>
    <w:rsid w:val="0064780F"/>
    <w:rsid w:val="0065077F"/>
    <w:rsid w:val="006509F6"/>
    <w:rsid w:val="00651F2F"/>
    <w:rsid w:val="0065433D"/>
    <w:rsid w:val="0065467B"/>
    <w:rsid w:val="00654E34"/>
    <w:rsid w:val="006578E5"/>
    <w:rsid w:val="00657A51"/>
    <w:rsid w:val="00661794"/>
    <w:rsid w:val="00661E03"/>
    <w:rsid w:val="00664641"/>
    <w:rsid w:val="00664ED9"/>
    <w:rsid w:val="00673E33"/>
    <w:rsid w:val="00677A97"/>
    <w:rsid w:val="00680B8D"/>
    <w:rsid w:val="0068164F"/>
    <w:rsid w:val="00682610"/>
    <w:rsid w:val="00684212"/>
    <w:rsid w:val="0069037C"/>
    <w:rsid w:val="0069099E"/>
    <w:rsid w:val="0069118B"/>
    <w:rsid w:val="006923A3"/>
    <w:rsid w:val="00695E41"/>
    <w:rsid w:val="00697E2F"/>
    <w:rsid w:val="006A0CA4"/>
    <w:rsid w:val="006A1497"/>
    <w:rsid w:val="006A1EAA"/>
    <w:rsid w:val="006A2E68"/>
    <w:rsid w:val="006A3FFD"/>
    <w:rsid w:val="006A5941"/>
    <w:rsid w:val="006A7241"/>
    <w:rsid w:val="006A7270"/>
    <w:rsid w:val="006A7DEC"/>
    <w:rsid w:val="006B0179"/>
    <w:rsid w:val="006B152E"/>
    <w:rsid w:val="006C14B7"/>
    <w:rsid w:val="006C18DE"/>
    <w:rsid w:val="006C345B"/>
    <w:rsid w:val="006C3975"/>
    <w:rsid w:val="006C4A97"/>
    <w:rsid w:val="006C523A"/>
    <w:rsid w:val="006C5D2F"/>
    <w:rsid w:val="006D3BE4"/>
    <w:rsid w:val="006D45A1"/>
    <w:rsid w:val="006D4D72"/>
    <w:rsid w:val="006D4D9F"/>
    <w:rsid w:val="006D5CC9"/>
    <w:rsid w:val="006D5E3E"/>
    <w:rsid w:val="006D7D29"/>
    <w:rsid w:val="006E0716"/>
    <w:rsid w:val="006E1780"/>
    <w:rsid w:val="006E38F1"/>
    <w:rsid w:val="006E4534"/>
    <w:rsid w:val="006E47D7"/>
    <w:rsid w:val="006E686E"/>
    <w:rsid w:val="006E791D"/>
    <w:rsid w:val="006F0146"/>
    <w:rsid w:val="006F392D"/>
    <w:rsid w:val="006F4A13"/>
    <w:rsid w:val="006F56DB"/>
    <w:rsid w:val="006F5D74"/>
    <w:rsid w:val="006F6EB2"/>
    <w:rsid w:val="00705243"/>
    <w:rsid w:val="00715077"/>
    <w:rsid w:val="00722DCD"/>
    <w:rsid w:val="00724BBD"/>
    <w:rsid w:val="0072530A"/>
    <w:rsid w:val="00725D4B"/>
    <w:rsid w:val="00733FF7"/>
    <w:rsid w:val="007361D2"/>
    <w:rsid w:val="00736FBB"/>
    <w:rsid w:val="0074074C"/>
    <w:rsid w:val="007447D8"/>
    <w:rsid w:val="00745D00"/>
    <w:rsid w:val="007466E7"/>
    <w:rsid w:val="00750A6F"/>
    <w:rsid w:val="00750D76"/>
    <w:rsid w:val="007568F2"/>
    <w:rsid w:val="007610D7"/>
    <w:rsid w:val="00762640"/>
    <w:rsid w:val="00765559"/>
    <w:rsid w:val="00765B23"/>
    <w:rsid w:val="007662EC"/>
    <w:rsid w:val="0077652A"/>
    <w:rsid w:val="007804F6"/>
    <w:rsid w:val="00781D96"/>
    <w:rsid w:val="00783A31"/>
    <w:rsid w:val="00783FEE"/>
    <w:rsid w:val="0078528A"/>
    <w:rsid w:val="00786DE3"/>
    <w:rsid w:val="00791333"/>
    <w:rsid w:val="00793599"/>
    <w:rsid w:val="00793A59"/>
    <w:rsid w:val="00794B48"/>
    <w:rsid w:val="00796015"/>
    <w:rsid w:val="00797633"/>
    <w:rsid w:val="007A070D"/>
    <w:rsid w:val="007A4129"/>
    <w:rsid w:val="007A6938"/>
    <w:rsid w:val="007A7EC7"/>
    <w:rsid w:val="007B4E45"/>
    <w:rsid w:val="007B6635"/>
    <w:rsid w:val="007C2BC2"/>
    <w:rsid w:val="007C6CA9"/>
    <w:rsid w:val="007D7358"/>
    <w:rsid w:val="007E0D9E"/>
    <w:rsid w:val="007E1651"/>
    <w:rsid w:val="007F38C9"/>
    <w:rsid w:val="007F46B0"/>
    <w:rsid w:val="007F470A"/>
    <w:rsid w:val="007F591B"/>
    <w:rsid w:val="007F6362"/>
    <w:rsid w:val="007F7503"/>
    <w:rsid w:val="0080090F"/>
    <w:rsid w:val="0080365D"/>
    <w:rsid w:val="00804174"/>
    <w:rsid w:val="00804CE8"/>
    <w:rsid w:val="00804CF2"/>
    <w:rsid w:val="0080526A"/>
    <w:rsid w:val="00810103"/>
    <w:rsid w:val="00810F97"/>
    <w:rsid w:val="0081130F"/>
    <w:rsid w:val="00813D45"/>
    <w:rsid w:val="00814EFA"/>
    <w:rsid w:val="00815B20"/>
    <w:rsid w:val="0082249B"/>
    <w:rsid w:val="00823886"/>
    <w:rsid w:val="00823CC7"/>
    <w:rsid w:val="00825339"/>
    <w:rsid w:val="0082648C"/>
    <w:rsid w:val="0082734A"/>
    <w:rsid w:val="00831A1F"/>
    <w:rsid w:val="00833B48"/>
    <w:rsid w:val="00834B26"/>
    <w:rsid w:val="008353E8"/>
    <w:rsid w:val="00835EF5"/>
    <w:rsid w:val="00837956"/>
    <w:rsid w:val="00843F26"/>
    <w:rsid w:val="008529DA"/>
    <w:rsid w:val="00853DB5"/>
    <w:rsid w:val="00853E5E"/>
    <w:rsid w:val="00856F62"/>
    <w:rsid w:val="0085775D"/>
    <w:rsid w:val="008669E3"/>
    <w:rsid w:val="00872159"/>
    <w:rsid w:val="00873AC3"/>
    <w:rsid w:val="00876FF6"/>
    <w:rsid w:val="00877F1B"/>
    <w:rsid w:val="00881E06"/>
    <w:rsid w:val="00882724"/>
    <w:rsid w:val="008838C2"/>
    <w:rsid w:val="008919B8"/>
    <w:rsid w:val="00892503"/>
    <w:rsid w:val="00893599"/>
    <w:rsid w:val="008963CA"/>
    <w:rsid w:val="00896EDE"/>
    <w:rsid w:val="00897C01"/>
    <w:rsid w:val="008A0474"/>
    <w:rsid w:val="008A2D24"/>
    <w:rsid w:val="008A3746"/>
    <w:rsid w:val="008A4135"/>
    <w:rsid w:val="008A63F4"/>
    <w:rsid w:val="008A65C0"/>
    <w:rsid w:val="008A66C1"/>
    <w:rsid w:val="008A6CFD"/>
    <w:rsid w:val="008A7226"/>
    <w:rsid w:val="008B2D77"/>
    <w:rsid w:val="008B4294"/>
    <w:rsid w:val="008C086E"/>
    <w:rsid w:val="008C11B1"/>
    <w:rsid w:val="008C1456"/>
    <w:rsid w:val="008C1EC9"/>
    <w:rsid w:val="008C20C7"/>
    <w:rsid w:val="008C3DFE"/>
    <w:rsid w:val="008C40B5"/>
    <w:rsid w:val="008C61BC"/>
    <w:rsid w:val="008C72F2"/>
    <w:rsid w:val="008D212A"/>
    <w:rsid w:val="008D2B3A"/>
    <w:rsid w:val="008D3F2D"/>
    <w:rsid w:val="008D53C2"/>
    <w:rsid w:val="008E6601"/>
    <w:rsid w:val="008F4604"/>
    <w:rsid w:val="008F687F"/>
    <w:rsid w:val="00902147"/>
    <w:rsid w:val="0090369D"/>
    <w:rsid w:val="0090517A"/>
    <w:rsid w:val="00905AC1"/>
    <w:rsid w:val="00907351"/>
    <w:rsid w:val="0091081C"/>
    <w:rsid w:val="009207AB"/>
    <w:rsid w:val="0093003E"/>
    <w:rsid w:val="00932318"/>
    <w:rsid w:val="00933A5E"/>
    <w:rsid w:val="00936FA5"/>
    <w:rsid w:val="00937D5F"/>
    <w:rsid w:val="00940023"/>
    <w:rsid w:val="00943067"/>
    <w:rsid w:val="00943E7B"/>
    <w:rsid w:val="00944D4A"/>
    <w:rsid w:val="00944ED3"/>
    <w:rsid w:val="00950F9E"/>
    <w:rsid w:val="00951E1E"/>
    <w:rsid w:val="00952102"/>
    <w:rsid w:val="00955059"/>
    <w:rsid w:val="009553B8"/>
    <w:rsid w:val="00955959"/>
    <w:rsid w:val="00955C15"/>
    <w:rsid w:val="00960AC0"/>
    <w:rsid w:val="0096237D"/>
    <w:rsid w:val="00965450"/>
    <w:rsid w:val="00967CBA"/>
    <w:rsid w:val="00971F36"/>
    <w:rsid w:val="00972EF1"/>
    <w:rsid w:val="009736AD"/>
    <w:rsid w:val="00977054"/>
    <w:rsid w:val="00977771"/>
    <w:rsid w:val="009778B8"/>
    <w:rsid w:val="00980B1E"/>
    <w:rsid w:val="00986D11"/>
    <w:rsid w:val="00987378"/>
    <w:rsid w:val="009910B4"/>
    <w:rsid w:val="0099159C"/>
    <w:rsid w:val="0099170A"/>
    <w:rsid w:val="00992645"/>
    <w:rsid w:val="00992D05"/>
    <w:rsid w:val="0099515E"/>
    <w:rsid w:val="0099539B"/>
    <w:rsid w:val="0099677F"/>
    <w:rsid w:val="00996FFE"/>
    <w:rsid w:val="009A0E0F"/>
    <w:rsid w:val="009A1124"/>
    <w:rsid w:val="009B0992"/>
    <w:rsid w:val="009B47E5"/>
    <w:rsid w:val="009B4E7D"/>
    <w:rsid w:val="009C0A1F"/>
    <w:rsid w:val="009C1705"/>
    <w:rsid w:val="009C228A"/>
    <w:rsid w:val="009C36FF"/>
    <w:rsid w:val="009C3779"/>
    <w:rsid w:val="009D035B"/>
    <w:rsid w:val="009D0D30"/>
    <w:rsid w:val="009D4D12"/>
    <w:rsid w:val="009D528C"/>
    <w:rsid w:val="009D544D"/>
    <w:rsid w:val="009D6288"/>
    <w:rsid w:val="009D7CC0"/>
    <w:rsid w:val="009E0106"/>
    <w:rsid w:val="009E0387"/>
    <w:rsid w:val="009E130D"/>
    <w:rsid w:val="009E36EF"/>
    <w:rsid w:val="009E47F8"/>
    <w:rsid w:val="009E495A"/>
    <w:rsid w:val="009E5138"/>
    <w:rsid w:val="009E56E9"/>
    <w:rsid w:val="009F174D"/>
    <w:rsid w:val="009F2628"/>
    <w:rsid w:val="009F7B07"/>
    <w:rsid w:val="00A003A9"/>
    <w:rsid w:val="00A026B5"/>
    <w:rsid w:val="00A028E3"/>
    <w:rsid w:val="00A05356"/>
    <w:rsid w:val="00A11796"/>
    <w:rsid w:val="00A11E86"/>
    <w:rsid w:val="00A16506"/>
    <w:rsid w:val="00A236F7"/>
    <w:rsid w:val="00A24878"/>
    <w:rsid w:val="00A25671"/>
    <w:rsid w:val="00A30443"/>
    <w:rsid w:val="00A3085A"/>
    <w:rsid w:val="00A33BFA"/>
    <w:rsid w:val="00A347A7"/>
    <w:rsid w:val="00A34906"/>
    <w:rsid w:val="00A37EEE"/>
    <w:rsid w:val="00A37F4B"/>
    <w:rsid w:val="00A4388A"/>
    <w:rsid w:val="00A47ABF"/>
    <w:rsid w:val="00A54F77"/>
    <w:rsid w:val="00A558FE"/>
    <w:rsid w:val="00A607E8"/>
    <w:rsid w:val="00A618E3"/>
    <w:rsid w:val="00A62E6D"/>
    <w:rsid w:val="00A62EC4"/>
    <w:rsid w:val="00A6317D"/>
    <w:rsid w:val="00A63202"/>
    <w:rsid w:val="00A63A33"/>
    <w:rsid w:val="00A65163"/>
    <w:rsid w:val="00A727BC"/>
    <w:rsid w:val="00A73C88"/>
    <w:rsid w:val="00A748AB"/>
    <w:rsid w:val="00A75874"/>
    <w:rsid w:val="00A762B0"/>
    <w:rsid w:val="00A766E1"/>
    <w:rsid w:val="00A77D70"/>
    <w:rsid w:val="00A81ACE"/>
    <w:rsid w:val="00A82286"/>
    <w:rsid w:val="00A83471"/>
    <w:rsid w:val="00A83A13"/>
    <w:rsid w:val="00A83C78"/>
    <w:rsid w:val="00A87EE8"/>
    <w:rsid w:val="00A9473E"/>
    <w:rsid w:val="00A96709"/>
    <w:rsid w:val="00A96D36"/>
    <w:rsid w:val="00AA3F60"/>
    <w:rsid w:val="00AA4E99"/>
    <w:rsid w:val="00AA7766"/>
    <w:rsid w:val="00AB1D4D"/>
    <w:rsid w:val="00AB3486"/>
    <w:rsid w:val="00AB408A"/>
    <w:rsid w:val="00AB4FF2"/>
    <w:rsid w:val="00AB6ECC"/>
    <w:rsid w:val="00AC4115"/>
    <w:rsid w:val="00AC5191"/>
    <w:rsid w:val="00AC6651"/>
    <w:rsid w:val="00AD4B2B"/>
    <w:rsid w:val="00AD5CC8"/>
    <w:rsid w:val="00AD68AB"/>
    <w:rsid w:val="00AD6E45"/>
    <w:rsid w:val="00AD7A58"/>
    <w:rsid w:val="00AD7CAC"/>
    <w:rsid w:val="00AE2579"/>
    <w:rsid w:val="00AE5D80"/>
    <w:rsid w:val="00AE7674"/>
    <w:rsid w:val="00AE77D9"/>
    <w:rsid w:val="00AE7800"/>
    <w:rsid w:val="00AF0C81"/>
    <w:rsid w:val="00AF38E6"/>
    <w:rsid w:val="00AF4A66"/>
    <w:rsid w:val="00AF4E37"/>
    <w:rsid w:val="00AF6540"/>
    <w:rsid w:val="00AF6AB5"/>
    <w:rsid w:val="00B00087"/>
    <w:rsid w:val="00B049C9"/>
    <w:rsid w:val="00B06760"/>
    <w:rsid w:val="00B108CB"/>
    <w:rsid w:val="00B15938"/>
    <w:rsid w:val="00B167E4"/>
    <w:rsid w:val="00B16AB4"/>
    <w:rsid w:val="00B2156B"/>
    <w:rsid w:val="00B21D8B"/>
    <w:rsid w:val="00B23238"/>
    <w:rsid w:val="00B23AE9"/>
    <w:rsid w:val="00B243DD"/>
    <w:rsid w:val="00B246F7"/>
    <w:rsid w:val="00B253FB"/>
    <w:rsid w:val="00B31E05"/>
    <w:rsid w:val="00B34A25"/>
    <w:rsid w:val="00B34F7E"/>
    <w:rsid w:val="00B40D33"/>
    <w:rsid w:val="00B43A71"/>
    <w:rsid w:val="00B43C7C"/>
    <w:rsid w:val="00B4463F"/>
    <w:rsid w:val="00B4577E"/>
    <w:rsid w:val="00B460A5"/>
    <w:rsid w:val="00B50EE9"/>
    <w:rsid w:val="00B51221"/>
    <w:rsid w:val="00B51490"/>
    <w:rsid w:val="00B51923"/>
    <w:rsid w:val="00B52731"/>
    <w:rsid w:val="00B5456C"/>
    <w:rsid w:val="00B54591"/>
    <w:rsid w:val="00B564C4"/>
    <w:rsid w:val="00B628C3"/>
    <w:rsid w:val="00B63ADB"/>
    <w:rsid w:val="00B64095"/>
    <w:rsid w:val="00B7798B"/>
    <w:rsid w:val="00B77A59"/>
    <w:rsid w:val="00B80953"/>
    <w:rsid w:val="00B80E1F"/>
    <w:rsid w:val="00B81F01"/>
    <w:rsid w:val="00B849A5"/>
    <w:rsid w:val="00B857AF"/>
    <w:rsid w:val="00B87A3A"/>
    <w:rsid w:val="00B87C22"/>
    <w:rsid w:val="00B915AE"/>
    <w:rsid w:val="00B93D7F"/>
    <w:rsid w:val="00B9409F"/>
    <w:rsid w:val="00B94808"/>
    <w:rsid w:val="00B96366"/>
    <w:rsid w:val="00B9793E"/>
    <w:rsid w:val="00BA19BD"/>
    <w:rsid w:val="00BB33BD"/>
    <w:rsid w:val="00BB6D7E"/>
    <w:rsid w:val="00BC38AD"/>
    <w:rsid w:val="00BC5783"/>
    <w:rsid w:val="00BC6300"/>
    <w:rsid w:val="00BC7360"/>
    <w:rsid w:val="00BC78BC"/>
    <w:rsid w:val="00BC79E3"/>
    <w:rsid w:val="00BD0CC8"/>
    <w:rsid w:val="00BD1A76"/>
    <w:rsid w:val="00BD2AA5"/>
    <w:rsid w:val="00BD2E78"/>
    <w:rsid w:val="00BD3249"/>
    <w:rsid w:val="00BD3AD2"/>
    <w:rsid w:val="00BD4D03"/>
    <w:rsid w:val="00BD4EC5"/>
    <w:rsid w:val="00BE03AC"/>
    <w:rsid w:val="00BE141A"/>
    <w:rsid w:val="00BE22EB"/>
    <w:rsid w:val="00BE2AC9"/>
    <w:rsid w:val="00BE430D"/>
    <w:rsid w:val="00BE435B"/>
    <w:rsid w:val="00BE47C6"/>
    <w:rsid w:val="00BE7041"/>
    <w:rsid w:val="00BF0478"/>
    <w:rsid w:val="00BF1F21"/>
    <w:rsid w:val="00BF2534"/>
    <w:rsid w:val="00BF3B9D"/>
    <w:rsid w:val="00BF5493"/>
    <w:rsid w:val="00BF66E2"/>
    <w:rsid w:val="00BF7416"/>
    <w:rsid w:val="00C047CD"/>
    <w:rsid w:val="00C0542A"/>
    <w:rsid w:val="00C1232D"/>
    <w:rsid w:val="00C139F7"/>
    <w:rsid w:val="00C13EC0"/>
    <w:rsid w:val="00C13F40"/>
    <w:rsid w:val="00C14F24"/>
    <w:rsid w:val="00C15AA8"/>
    <w:rsid w:val="00C17A0A"/>
    <w:rsid w:val="00C208C5"/>
    <w:rsid w:val="00C21192"/>
    <w:rsid w:val="00C22F4B"/>
    <w:rsid w:val="00C23C71"/>
    <w:rsid w:val="00C2406A"/>
    <w:rsid w:val="00C245F2"/>
    <w:rsid w:val="00C26E90"/>
    <w:rsid w:val="00C3390E"/>
    <w:rsid w:val="00C33B12"/>
    <w:rsid w:val="00C35025"/>
    <w:rsid w:val="00C36F22"/>
    <w:rsid w:val="00C41406"/>
    <w:rsid w:val="00C41706"/>
    <w:rsid w:val="00C42A23"/>
    <w:rsid w:val="00C441F7"/>
    <w:rsid w:val="00C443F5"/>
    <w:rsid w:val="00C4494D"/>
    <w:rsid w:val="00C47D8E"/>
    <w:rsid w:val="00C50916"/>
    <w:rsid w:val="00C50B09"/>
    <w:rsid w:val="00C51FC1"/>
    <w:rsid w:val="00C539B4"/>
    <w:rsid w:val="00C53C52"/>
    <w:rsid w:val="00C547DE"/>
    <w:rsid w:val="00C54E3C"/>
    <w:rsid w:val="00C60E31"/>
    <w:rsid w:val="00C6372A"/>
    <w:rsid w:val="00C648F6"/>
    <w:rsid w:val="00C66812"/>
    <w:rsid w:val="00C672E6"/>
    <w:rsid w:val="00C67BA2"/>
    <w:rsid w:val="00C70ABF"/>
    <w:rsid w:val="00C73462"/>
    <w:rsid w:val="00C73622"/>
    <w:rsid w:val="00C76B61"/>
    <w:rsid w:val="00C802DE"/>
    <w:rsid w:val="00C8336F"/>
    <w:rsid w:val="00C85491"/>
    <w:rsid w:val="00C873AB"/>
    <w:rsid w:val="00C90293"/>
    <w:rsid w:val="00C91BA1"/>
    <w:rsid w:val="00C91C07"/>
    <w:rsid w:val="00C922E8"/>
    <w:rsid w:val="00C94A0B"/>
    <w:rsid w:val="00C95229"/>
    <w:rsid w:val="00CA05CA"/>
    <w:rsid w:val="00CA24C0"/>
    <w:rsid w:val="00CA2947"/>
    <w:rsid w:val="00CA411D"/>
    <w:rsid w:val="00CB0E88"/>
    <w:rsid w:val="00CB16A4"/>
    <w:rsid w:val="00CB5051"/>
    <w:rsid w:val="00CC0066"/>
    <w:rsid w:val="00CC1995"/>
    <w:rsid w:val="00CC5A1D"/>
    <w:rsid w:val="00CD03BD"/>
    <w:rsid w:val="00CD1AE8"/>
    <w:rsid w:val="00CD31AA"/>
    <w:rsid w:val="00CD4E5E"/>
    <w:rsid w:val="00CD752A"/>
    <w:rsid w:val="00CE31A2"/>
    <w:rsid w:val="00CE6789"/>
    <w:rsid w:val="00CE6DD1"/>
    <w:rsid w:val="00CE7B7F"/>
    <w:rsid w:val="00CF0D50"/>
    <w:rsid w:val="00CF0ED6"/>
    <w:rsid w:val="00CF1309"/>
    <w:rsid w:val="00CF29A7"/>
    <w:rsid w:val="00CF3820"/>
    <w:rsid w:val="00CF38E3"/>
    <w:rsid w:val="00CF526A"/>
    <w:rsid w:val="00CF7681"/>
    <w:rsid w:val="00D001FC"/>
    <w:rsid w:val="00D00424"/>
    <w:rsid w:val="00D03218"/>
    <w:rsid w:val="00D03954"/>
    <w:rsid w:val="00D11D62"/>
    <w:rsid w:val="00D13D44"/>
    <w:rsid w:val="00D13D45"/>
    <w:rsid w:val="00D17D5E"/>
    <w:rsid w:val="00D20D0C"/>
    <w:rsid w:val="00D22185"/>
    <w:rsid w:val="00D2264A"/>
    <w:rsid w:val="00D22B9A"/>
    <w:rsid w:val="00D25FFD"/>
    <w:rsid w:val="00D30ECC"/>
    <w:rsid w:val="00D314A2"/>
    <w:rsid w:val="00D3349C"/>
    <w:rsid w:val="00D34A82"/>
    <w:rsid w:val="00D40557"/>
    <w:rsid w:val="00D41C28"/>
    <w:rsid w:val="00D52EA5"/>
    <w:rsid w:val="00D5387B"/>
    <w:rsid w:val="00D54CAD"/>
    <w:rsid w:val="00D57BE4"/>
    <w:rsid w:val="00D602A2"/>
    <w:rsid w:val="00D6307A"/>
    <w:rsid w:val="00D631FB"/>
    <w:rsid w:val="00D644CE"/>
    <w:rsid w:val="00D65E36"/>
    <w:rsid w:val="00D6679D"/>
    <w:rsid w:val="00D67C84"/>
    <w:rsid w:val="00D712B0"/>
    <w:rsid w:val="00D71B9A"/>
    <w:rsid w:val="00D71F61"/>
    <w:rsid w:val="00D721AA"/>
    <w:rsid w:val="00D73C41"/>
    <w:rsid w:val="00D74837"/>
    <w:rsid w:val="00D76A64"/>
    <w:rsid w:val="00D80EB6"/>
    <w:rsid w:val="00D830F5"/>
    <w:rsid w:val="00D83C9D"/>
    <w:rsid w:val="00D85B49"/>
    <w:rsid w:val="00D8616B"/>
    <w:rsid w:val="00D912A9"/>
    <w:rsid w:val="00D91644"/>
    <w:rsid w:val="00D925BD"/>
    <w:rsid w:val="00D92D1E"/>
    <w:rsid w:val="00D9517E"/>
    <w:rsid w:val="00D956B9"/>
    <w:rsid w:val="00D95915"/>
    <w:rsid w:val="00D959E2"/>
    <w:rsid w:val="00D97F74"/>
    <w:rsid w:val="00DA1A96"/>
    <w:rsid w:val="00DA2274"/>
    <w:rsid w:val="00DB6FE0"/>
    <w:rsid w:val="00DC2BC8"/>
    <w:rsid w:val="00DC2DE8"/>
    <w:rsid w:val="00DC31B7"/>
    <w:rsid w:val="00DC320D"/>
    <w:rsid w:val="00DC375E"/>
    <w:rsid w:val="00DD0B60"/>
    <w:rsid w:val="00DD29C5"/>
    <w:rsid w:val="00DD4844"/>
    <w:rsid w:val="00DE21FB"/>
    <w:rsid w:val="00DE2BA4"/>
    <w:rsid w:val="00DE3870"/>
    <w:rsid w:val="00DE6C6E"/>
    <w:rsid w:val="00DF0C78"/>
    <w:rsid w:val="00DF219D"/>
    <w:rsid w:val="00DF26E8"/>
    <w:rsid w:val="00DF2C7A"/>
    <w:rsid w:val="00DF35A9"/>
    <w:rsid w:val="00DF3DD3"/>
    <w:rsid w:val="00DF4C73"/>
    <w:rsid w:val="00DF5972"/>
    <w:rsid w:val="00DF6061"/>
    <w:rsid w:val="00DF60E7"/>
    <w:rsid w:val="00DF724C"/>
    <w:rsid w:val="00E019C2"/>
    <w:rsid w:val="00E021A5"/>
    <w:rsid w:val="00E026B4"/>
    <w:rsid w:val="00E02802"/>
    <w:rsid w:val="00E041E5"/>
    <w:rsid w:val="00E04F51"/>
    <w:rsid w:val="00E05A74"/>
    <w:rsid w:val="00E06636"/>
    <w:rsid w:val="00E0720C"/>
    <w:rsid w:val="00E07942"/>
    <w:rsid w:val="00E1474A"/>
    <w:rsid w:val="00E14FA0"/>
    <w:rsid w:val="00E16C9D"/>
    <w:rsid w:val="00E204E1"/>
    <w:rsid w:val="00E20706"/>
    <w:rsid w:val="00E21166"/>
    <w:rsid w:val="00E22745"/>
    <w:rsid w:val="00E241F6"/>
    <w:rsid w:val="00E33B1C"/>
    <w:rsid w:val="00E3425E"/>
    <w:rsid w:val="00E35136"/>
    <w:rsid w:val="00E36CF6"/>
    <w:rsid w:val="00E37751"/>
    <w:rsid w:val="00E4062E"/>
    <w:rsid w:val="00E40891"/>
    <w:rsid w:val="00E4149A"/>
    <w:rsid w:val="00E4468B"/>
    <w:rsid w:val="00E477A1"/>
    <w:rsid w:val="00E50B75"/>
    <w:rsid w:val="00E5486E"/>
    <w:rsid w:val="00E556E7"/>
    <w:rsid w:val="00E62DE8"/>
    <w:rsid w:val="00E63D4B"/>
    <w:rsid w:val="00E63DCF"/>
    <w:rsid w:val="00E6504C"/>
    <w:rsid w:val="00E66BF0"/>
    <w:rsid w:val="00E70250"/>
    <w:rsid w:val="00E70BD8"/>
    <w:rsid w:val="00E71212"/>
    <w:rsid w:val="00E712B9"/>
    <w:rsid w:val="00E740B3"/>
    <w:rsid w:val="00E758DA"/>
    <w:rsid w:val="00E76B01"/>
    <w:rsid w:val="00E803BC"/>
    <w:rsid w:val="00E90D6C"/>
    <w:rsid w:val="00E91F67"/>
    <w:rsid w:val="00E944C5"/>
    <w:rsid w:val="00E96A89"/>
    <w:rsid w:val="00EA356E"/>
    <w:rsid w:val="00EA550F"/>
    <w:rsid w:val="00EA6F67"/>
    <w:rsid w:val="00EB0632"/>
    <w:rsid w:val="00EB5009"/>
    <w:rsid w:val="00EB74D5"/>
    <w:rsid w:val="00EC1E16"/>
    <w:rsid w:val="00EC7776"/>
    <w:rsid w:val="00ED7049"/>
    <w:rsid w:val="00EE04B9"/>
    <w:rsid w:val="00EE2D1B"/>
    <w:rsid w:val="00EE4F97"/>
    <w:rsid w:val="00EE6B11"/>
    <w:rsid w:val="00EF4492"/>
    <w:rsid w:val="00EF4ACC"/>
    <w:rsid w:val="00EF64B0"/>
    <w:rsid w:val="00EF6D56"/>
    <w:rsid w:val="00F00CD2"/>
    <w:rsid w:val="00F03DEE"/>
    <w:rsid w:val="00F04B3B"/>
    <w:rsid w:val="00F051E2"/>
    <w:rsid w:val="00F06216"/>
    <w:rsid w:val="00F11066"/>
    <w:rsid w:val="00F13EDB"/>
    <w:rsid w:val="00F14686"/>
    <w:rsid w:val="00F14737"/>
    <w:rsid w:val="00F150CC"/>
    <w:rsid w:val="00F153B3"/>
    <w:rsid w:val="00F20A16"/>
    <w:rsid w:val="00F21BF5"/>
    <w:rsid w:val="00F26107"/>
    <w:rsid w:val="00F32BBB"/>
    <w:rsid w:val="00F34004"/>
    <w:rsid w:val="00F35044"/>
    <w:rsid w:val="00F40805"/>
    <w:rsid w:val="00F40BC9"/>
    <w:rsid w:val="00F41875"/>
    <w:rsid w:val="00F41CB9"/>
    <w:rsid w:val="00F44696"/>
    <w:rsid w:val="00F471C4"/>
    <w:rsid w:val="00F50663"/>
    <w:rsid w:val="00F5183E"/>
    <w:rsid w:val="00F51E0D"/>
    <w:rsid w:val="00F53021"/>
    <w:rsid w:val="00F53765"/>
    <w:rsid w:val="00F53956"/>
    <w:rsid w:val="00F55A1B"/>
    <w:rsid w:val="00F56D5D"/>
    <w:rsid w:val="00F61500"/>
    <w:rsid w:val="00F62234"/>
    <w:rsid w:val="00F62946"/>
    <w:rsid w:val="00F64747"/>
    <w:rsid w:val="00F674EF"/>
    <w:rsid w:val="00F70C5D"/>
    <w:rsid w:val="00F74270"/>
    <w:rsid w:val="00F754A0"/>
    <w:rsid w:val="00F7632C"/>
    <w:rsid w:val="00F810ED"/>
    <w:rsid w:val="00F81CF7"/>
    <w:rsid w:val="00F83CA2"/>
    <w:rsid w:val="00F84CF2"/>
    <w:rsid w:val="00F85310"/>
    <w:rsid w:val="00F87556"/>
    <w:rsid w:val="00F97CA5"/>
    <w:rsid w:val="00FA1353"/>
    <w:rsid w:val="00FB17A3"/>
    <w:rsid w:val="00FB305A"/>
    <w:rsid w:val="00FB4488"/>
    <w:rsid w:val="00FB4F0B"/>
    <w:rsid w:val="00FC06F1"/>
    <w:rsid w:val="00FC0B10"/>
    <w:rsid w:val="00FC10FC"/>
    <w:rsid w:val="00FC1459"/>
    <w:rsid w:val="00FC2F04"/>
    <w:rsid w:val="00FD040F"/>
    <w:rsid w:val="00FD2757"/>
    <w:rsid w:val="00FD29F6"/>
    <w:rsid w:val="00FD3165"/>
    <w:rsid w:val="00FD4E19"/>
    <w:rsid w:val="00FD5ABF"/>
    <w:rsid w:val="00FD6CA0"/>
    <w:rsid w:val="00FD7956"/>
    <w:rsid w:val="00FE1FF1"/>
    <w:rsid w:val="00FE336F"/>
    <w:rsid w:val="00FE4E7C"/>
    <w:rsid w:val="00FE60FB"/>
    <w:rsid w:val="00FE6314"/>
    <w:rsid w:val="00FE6A2D"/>
    <w:rsid w:val="00FF21FF"/>
    <w:rsid w:val="00FF6AD0"/>
    <w:rsid w:val="00FF7125"/>
    <w:rsid w:val="00FF767B"/>
    <w:rsid w:val="00FF7856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EC71"/>
  <w15:docId w15:val="{B65CCAAD-0FFD-4F0B-9FF4-07905E9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BD2"/>
    <w:pPr>
      <w:suppressAutoHyphens/>
      <w:ind w:left="284"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33B1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33B1C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E33B1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33B1C"/>
    <w:pPr>
      <w:spacing w:after="120"/>
    </w:pPr>
  </w:style>
  <w:style w:type="character" w:customStyle="1" w:styleId="Absatz-Standardschriftart">
    <w:name w:val="Absatz-Standardschriftart"/>
    <w:rsid w:val="00E33B1C"/>
  </w:style>
  <w:style w:type="character" w:customStyle="1" w:styleId="WW-Absatz-Standardschriftart">
    <w:name w:val="WW-Absatz-Standardschriftart"/>
    <w:rsid w:val="00E33B1C"/>
  </w:style>
  <w:style w:type="character" w:customStyle="1" w:styleId="WW8Num5z0">
    <w:name w:val="WW8Num5z0"/>
    <w:rsid w:val="00E33B1C"/>
    <w:rPr>
      <w:rFonts w:ascii="Symbol" w:hAnsi="Symbol" w:cs="OpenSymbol"/>
    </w:rPr>
  </w:style>
  <w:style w:type="character" w:customStyle="1" w:styleId="WW8Num6z0">
    <w:name w:val="WW8Num6z0"/>
    <w:rsid w:val="00E33B1C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E33B1C"/>
  </w:style>
  <w:style w:type="character" w:customStyle="1" w:styleId="WW-Absatz-Standardschriftart11">
    <w:name w:val="WW-Absatz-Standardschriftart11"/>
    <w:rsid w:val="00E33B1C"/>
  </w:style>
  <w:style w:type="character" w:customStyle="1" w:styleId="WW-Absatz-Standardschriftart111">
    <w:name w:val="WW-Absatz-Standardschriftart111"/>
    <w:rsid w:val="00E33B1C"/>
  </w:style>
  <w:style w:type="character" w:customStyle="1" w:styleId="WW-Absatz-Standardschriftart1111">
    <w:name w:val="WW-Absatz-Standardschriftart1111"/>
    <w:rsid w:val="00E33B1C"/>
  </w:style>
  <w:style w:type="character" w:customStyle="1" w:styleId="WW8Num6z1">
    <w:name w:val="WW8Num6z1"/>
    <w:rsid w:val="00E33B1C"/>
    <w:rPr>
      <w:rFonts w:ascii="Courier New" w:hAnsi="Courier New"/>
      <w:sz w:val="20"/>
    </w:rPr>
  </w:style>
  <w:style w:type="character" w:customStyle="1" w:styleId="WW8Num6z2">
    <w:name w:val="WW8Num6z2"/>
    <w:rsid w:val="00E33B1C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E33B1C"/>
  </w:style>
  <w:style w:type="character" w:customStyle="1" w:styleId="TekstprzypisudolnegoZnak">
    <w:name w:val="Tekst przypisu dolnego Znak"/>
    <w:rsid w:val="00E33B1C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E33B1C"/>
    <w:rPr>
      <w:vertAlign w:val="superscript"/>
    </w:rPr>
  </w:style>
  <w:style w:type="character" w:styleId="Pogrubienie">
    <w:name w:val="Strong"/>
    <w:uiPriority w:val="22"/>
    <w:qFormat/>
    <w:rsid w:val="00E33B1C"/>
    <w:rPr>
      <w:b/>
      <w:bCs/>
    </w:rPr>
  </w:style>
  <w:style w:type="character" w:customStyle="1" w:styleId="TekstprzypisukocowegoZnak">
    <w:name w:val="Tekst przypisu końcowego Znak"/>
    <w:rsid w:val="00E33B1C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33B1C"/>
    <w:rPr>
      <w:vertAlign w:val="superscript"/>
    </w:rPr>
  </w:style>
  <w:style w:type="character" w:customStyle="1" w:styleId="Tekstpodstawowywcity3Znak">
    <w:name w:val="Tekst podstawowy wcięty 3 Znak"/>
    <w:rsid w:val="00E33B1C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rsid w:val="00E33B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Znak">
    <w:name w:val="Nagłówek Znak"/>
    <w:uiPriority w:val="99"/>
    <w:rsid w:val="00E33B1C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E33B1C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semiHidden/>
    <w:rsid w:val="00E33B1C"/>
    <w:rPr>
      <w:vertAlign w:val="superscript"/>
    </w:rPr>
  </w:style>
  <w:style w:type="character" w:styleId="Odwoanieprzypisukocowego">
    <w:name w:val="endnote reference"/>
    <w:semiHidden/>
    <w:rsid w:val="00E33B1C"/>
    <w:rPr>
      <w:vertAlign w:val="superscript"/>
    </w:rPr>
  </w:style>
  <w:style w:type="character" w:customStyle="1" w:styleId="Znakinumeracji">
    <w:name w:val="Znaki numeracji"/>
    <w:rsid w:val="00E33B1C"/>
  </w:style>
  <w:style w:type="character" w:customStyle="1" w:styleId="Symbolewypunktowania">
    <w:name w:val="Symbole wypunktowania"/>
    <w:rsid w:val="00E33B1C"/>
    <w:rPr>
      <w:rFonts w:ascii="OpenSymbol" w:eastAsia="OpenSymbol" w:hAnsi="OpenSymbol" w:cs="OpenSymbol"/>
    </w:rPr>
  </w:style>
  <w:style w:type="character" w:styleId="Hipercze">
    <w:name w:val="Hyperlink"/>
    <w:uiPriority w:val="99"/>
    <w:semiHidden/>
    <w:rsid w:val="00E33B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E33B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semiHidden/>
    <w:rsid w:val="00E33B1C"/>
    <w:rPr>
      <w:rFonts w:cs="Tahoma"/>
    </w:rPr>
  </w:style>
  <w:style w:type="paragraph" w:customStyle="1" w:styleId="Podpis1">
    <w:name w:val="Podpis1"/>
    <w:basedOn w:val="Normalny"/>
    <w:rsid w:val="00E33B1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3B1C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uiPriority w:val="99"/>
    <w:rsid w:val="00E33B1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rsid w:val="00E33B1C"/>
    <w:rPr>
      <w:sz w:val="20"/>
      <w:szCs w:val="20"/>
    </w:rPr>
  </w:style>
  <w:style w:type="paragraph" w:styleId="Tekstprzypisukocowego">
    <w:name w:val="endnote text"/>
    <w:basedOn w:val="Normalny"/>
    <w:semiHidden/>
    <w:rsid w:val="00E33B1C"/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E33B1C"/>
    <w:pPr>
      <w:ind w:left="0" w:firstLine="708"/>
    </w:pPr>
    <w:rPr>
      <w:szCs w:val="20"/>
    </w:rPr>
  </w:style>
  <w:style w:type="paragraph" w:styleId="Stopka">
    <w:name w:val="footer"/>
    <w:basedOn w:val="Normalny"/>
    <w:semiHidden/>
    <w:rsid w:val="00E33B1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33B1C"/>
    <w:pPr>
      <w:suppressLineNumbers/>
    </w:pPr>
  </w:style>
  <w:style w:type="paragraph" w:customStyle="1" w:styleId="Nagwektabeli">
    <w:name w:val="Nagłówek tabeli"/>
    <w:basedOn w:val="Zawartotabeli"/>
    <w:rsid w:val="00E33B1C"/>
    <w:pPr>
      <w:jc w:val="center"/>
    </w:pPr>
    <w:rPr>
      <w:b/>
      <w:bCs/>
    </w:rPr>
  </w:style>
  <w:style w:type="paragraph" w:customStyle="1" w:styleId="Default">
    <w:name w:val="Default"/>
    <w:basedOn w:val="Normalny"/>
    <w:rsid w:val="00E33B1C"/>
    <w:pPr>
      <w:autoSpaceDE w:val="0"/>
    </w:pPr>
    <w:rPr>
      <w:rFonts w:ascii="Cambria" w:eastAsia="Cambria" w:hAnsi="Cambria" w:cs="Times New Roman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C23C7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0C5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Standard">
    <w:name w:val="Standard"/>
    <w:rsid w:val="006E47D7"/>
    <w:pPr>
      <w:widowControl w:val="0"/>
      <w:suppressAutoHyphens/>
      <w:autoSpaceDN w:val="0"/>
      <w:ind w:left="28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7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000000"/>
      <w:sz w:val="18"/>
      <w:szCs w:val="18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9793E"/>
    <w:rPr>
      <w:rFonts w:ascii="Courier New" w:hAnsi="Courier New" w:cs="Courier New"/>
      <w:color w:val="000000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602A2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602A2"/>
    <w:rPr>
      <w:rFonts w:cs="Calibri"/>
      <w:sz w:val="24"/>
      <w:szCs w:val="24"/>
      <w:lang w:eastAsia="ar-SA"/>
    </w:rPr>
  </w:style>
  <w:style w:type="paragraph" w:customStyle="1" w:styleId="Normalny1">
    <w:name w:val="Normalny1"/>
    <w:rsid w:val="008C72F2"/>
    <w:pPr>
      <w:spacing w:line="276" w:lineRule="auto"/>
      <w:ind w:left="284"/>
    </w:pPr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rsid w:val="000439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EEE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EEE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11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8B429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4294"/>
    <w:pPr>
      <w:widowControl w:val="0"/>
      <w:shd w:val="clear" w:color="auto" w:fill="FFFFFF"/>
      <w:suppressAutoHyphens w:val="0"/>
      <w:spacing w:after="120"/>
      <w:ind w:left="0" w:firstLine="280"/>
      <w:jc w:val="both"/>
    </w:pPr>
    <w:rPr>
      <w:rFonts w:ascii="Calibri" w:eastAsia="Calibri" w:hAnsi="Calibri"/>
      <w:lang w:eastAsia="pl-PL"/>
    </w:rPr>
  </w:style>
  <w:style w:type="character" w:customStyle="1" w:styleId="Odwoanieprzypisudolnego1">
    <w:name w:val="Odwołanie przypisu dolnego1"/>
    <w:rsid w:val="00595901"/>
    <w:rPr>
      <w:vertAlign w:val="superscript"/>
    </w:rPr>
  </w:style>
  <w:style w:type="character" w:customStyle="1" w:styleId="proglista2Znak">
    <w:name w:val="prog_lista2 Znak"/>
    <w:basedOn w:val="Domylnaczcionkaakapitu"/>
    <w:link w:val="proglista2"/>
    <w:locked/>
    <w:rsid w:val="00003251"/>
    <w:rPr>
      <w:sz w:val="22"/>
      <w:szCs w:val="22"/>
      <w:lang w:eastAsia="ar-SA"/>
    </w:rPr>
  </w:style>
  <w:style w:type="paragraph" w:customStyle="1" w:styleId="proglista2">
    <w:name w:val="prog_lista2"/>
    <w:basedOn w:val="Normalny"/>
    <w:link w:val="proglista2Znak"/>
    <w:qFormat/>
    <w:rsid w:val="00003251"/>
    <w:pPr>
      <w:tabs>
        <w:tab w:val="num" w:pos="-360"/>
        <w:tab w:val="num" w:pos="-218"/>
      </w:tabs>
      <w:autoSpaceDE w:val="0"/>
      <w:spacing w:before="80" w:line="276" w:lineRule="auto"/>
      <w:ind w:left="454" w:hanging="360"/>
      <w:jc w:val="both"/>
    </w:pPr>
    <w:rPr>
      <w:rFonts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5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57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575"/>
    <w:rPr>
      <w:rFonts w:cs="Calibri"/>
      <w:b/>
      <w:bCs/>
      <w:lang w:eastAsia="ar-SA"/>
    </w:rPr>
  </w:style>
  <w:style w:type="paragraph" w:styleId="Poprawka">
    <w:name w:val="Revision"/>
    <w:hidden/>
    <w:uiPriority w:val="99"/>
    <w:semiHidden/>
    <w:rsid w:val="00350238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7F2A-8279-44F9-8FB4-AC4FE5D0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12415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Links>
    <vt:vector size="12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http://www.math.uni.lodz.pl/praktyki-i-staze/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http://www.klasyfikacje.gofin.pl/pkd/4,0.html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Bednarek-Kokosza</cp:lastModifiedBy>
  <cp:revision>2</cp:revision>
  <cp:lastPrinted>2021-03-28T21:42:00Z</cp:lastPrinted>
  <dcterms:created xsi:type="dcterms:W3CDTF">2022-02-16T06:36:00Z</dcterms:created>
  <dcterms:modified xsi:type="dcterms:W3CDTF">2022-02-16T06:36:00Z</dcterms:modified>
</cp:coreProperties>
</file>